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E7F24" w14:textId="77777777" w:rsidR="0040450C" w:rsidRPr="00AB4019" w:rsidRDefault="0040450C" w:rsidP="0040450C">
      <w:pPr>
        <w:pStyle w:val="Heading"/>
        <w:spacing w:line="276" w:lineRule="auto"/>
        <w:jc w:val="center"/>
        <w:rPr>
          <w:rFonts w:cs="Times New Roman"/>
          <w:color w:val="auto"/>
          <w:lang w:val="lt-LT"/>
        </w:rPr>
      </w:pPr>
      <w:r w:rsidRPr="00AB4019">
        <w:rPr>
          <w:rFonts w:cs="Times New Roman"/>
          <w:color w:val="auto"/>
          <w:lang w:val="lt-LT"/>
        </w:rPr>
        <w:t>Enterinio maitinimo pompa</w:t>
      </w:r>
      <w:r>
        <w:rPr>
          <w:rFonts w:cs="Times New Roman"/>
          <w:color w:val="auto"/>
          <w:lang w:val="lt-LT"/>
        </w:rPr>
        <w:t xml:space="preserve"> -</w:t>
      </w:r>
      <w:r w:rsidRPr="00AB4019">
        <w:rPr>
          <w:rFonts w:cs="Times New Roman"/>
          <w:color w:val="auto"/>
          <w:lang w:val="lt-LT"/>
        </w:rPr>
        <w:t xml:space="preserve"> 10 vnt.</w:t>
      </w:r>
    </w:p>
    <w:p w14:paraId="514EF0D5" w14:textId="77777777" w:rsidR="00BD6B73" w:rsidRDefault="00BD6B73" w:rsidP="002F380B">
      <w:pPr>
        <w:pStyle w:val="Title"/>
        <w:keepNext/>
        <w:spacing w:line="240" w:lineRule="auto"/>
        <w:jc w:val="center"/>
        <w:rPr>
          <w:rFonts w:ascii="Times New Roman" w:eastAsia="SimSun" w:hAnsi="Times New Roman" w:cs="Times New Roman"/>
          <w:b/>
          <w:sz w:val="22"/>
          <w:szCs w:val="22"/>
          <w:bdr w:val="none" w:sz="0" w:space="0" w:color="auto" w:frame="1"/>
          <w:lang w:val="lt-LT"/>
        </w:rPr>
      </w:pPr>
    </w:p>
    <w:p w14:paraId="75C86398" w14:textId="77777777" w:rsidR="002F380B" w:rsidRDefault="002F380B" w:rsidP="002F380B">
      <w:pPr>
        <w:jc w:val="center"/>
        <w:rPr>
          <w:rFonts w:cs="Arial Unicode MS"/>
          <w:b/>
          <w:bCs/>
          <w:color w:val="000000" w:themeColor="text1"/>
          <w:sz w:val="22"/>
          <w:szCs w:val="22"/>
          <w:bdr w:val="none" w:sz="0" w:space="0" w:color="auto" w:frame="1"/>
          <w:lang w:val="lt-LT" w:eastAsia="lt-LT"/>
        </w:rPr>
      </w:pPr>
    </w:p>
    <w:p w14:paraId="312892FD" w14:textId="77777777" w:rsidR="00AB4019" w:rsidRDefault="00FD0E55" w:rsidP="00AB4019">
      <w:pPr>
        <w:pStyle w:val="Body2"/>
        <w:rPr>
          <w:lang w:val="lt-LT"/>
        </w:rPr>
      </w:pPr>
      <w:r w:rsidRPr="0062290C">
        <w:rPr>
          <w:lang w:val="lt-LT"/>
        </w:rPr>
        <w:t xml:space="preserve">                 </w:t>
      </w:r>
      <w:r w:rsidR="00AB4019" w:rsidRPr="00646101">
        <w:rPr>
          <w:lang w:val="lt-LT"/>
        </w:rPr>
        <w:t>BENDRIEJI REIKALAVIMAI:</w:t>
      </w:r>
    </w:p>
    <w:p w14:paraId="7C9BC6D5" w14:textId="77777777" w:rsidR="00AB4019" w:rsidRDefault="00AB4019" w:rsidP="00AB4019">
      <w:pPr>
        <w:pStyle w:val="Body2"/>
        <w:numPr>
          <w:ilvl w:val="0"/>
          <w:numId w:val="25"/>
        </w:numPr>
        <w:rPr>
          <w:lang w:val="lt-LT"/>
        </w:rPr>
      </w:pPr>
      <w:r w:rsidRPr="00646101">
        <w:rPr>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646101">
        <w:rPr>
          <w:lang w:val="lt-LT"/>
        </w:rPr>
        <w:t>pdf</w:t>
      </w:r>
      <w:proofErr w:type="spellEnd"/>
      <w:r w:rsidRPr="00646101">
        <w:rPr>
          <w:lang w:val="lt-LT"/>
        </w:rPr>
        <w:t xml:space="preserve"> formatu). Šiuose dokumentuose tiekėjas </w:t>
      </w:r>
      <w:r w:rsidRPr="00C85D42">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1">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7F27E45E" w14:textId="77777777" w:rsidR="00AB4019" w:rsidRDefault="00AB4019" w:rsidP="00AB4019">
      <w:pPr>
        <w:pStyle w:val="Body2"/>
        <w:numPr>
          <w:ilvl w:val="0"/>
          <w:numId w:val="25"/>
        </w:numPr>
        <w:rPr>
          <w:lang w:val="lt-LT"/>
        </w:rPr>
      </w:pPr>
      <w:r w:rsidRPr="00646101">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870E841" w14:textId="77777777" w:rsidR="00AB4019" w:rsidRDefault="00AB4019" w:rsidP="00AB4019">
      <w:pPr>
        <w:pStyle w:val="Body2"/>
        <w:numPr>
          <w:ilvl w:val="0"/>
          <w:numId w:val="25"/>
        </w:numPr>
        <w:rPr>
          <w:lang w:val="lt-LT"/>
        </w:rPr>
      </w:pPr>
      <w:r w:rsidRPr="0064610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E8AD410" w14:textId="77777777" w:rsidR="00AB4019" w:rsidRDefault="00AB4019" w:rsidP="00AB4019">
      <w:pPr>
        <w:pStyle w:val="Body2"/>
        <w:numPr>
          <w:ilvl w:val="0"/>
          <w:numId w:val="25"/>
        </w:numPr>
        <w:rPr>
          <w:lang w:val="lt-LT"/>
        </w:rPr>
      </w:pPr>
      <w:r w:rsidRPr="00646101">
        <w:rPr>
          <w:lang w:val="lt-LT"/>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w:t>
      </w:r>
      <w:proofErr w:type="spellStart"/>
      <w:r w:rsidRPr="00646101">
        <w:rPr>
          <w:lang w:val="lt-LT"/>
        </w:rPr>
        <w:t>t.y</w:t>
      </w:r>
      <w:proofErr w:type="spellEnd"/>
      <w:r w:rsidRPr="00646101">
        <w:rPr>
          <w:lang w:val="lt-LT"/>
        </w:rPr>
        <w:t>.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0EF64A79" w14:textId="77777777" w:rsidR="00AB4019" w:rsidRDefault="00AB4019" w:rsidP="00AB4019">
      <w:pPr>
        <w:pStyle w:val="Body2"/>
        <w:numPr>
          <w:ilvl w:val="0"/>
          <w:numId w:val="25"/>
        </w:numPr>
        <w:rPr>
          <w:lang w:val="lt-LT"/>
        </w:rPr>
      </w:pPr>
      <w:r w:rsidRPr="0064610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1993C393" w14:textId="77777777" w:rsidR="00AB4019" w:rsidRDefault="00AB4019" w:rsidP="00AB4019">
      <w:pPr>
        <w:pStyle w:val="Body2"/>
        <w:numPr>
          <w:ilvl w:val="0"/>
          <w:numId w:val="25"/>
        </w:numPr>
        <w:rPr>
          <w:lang w:val="lt-LT"/>
        </w:rPr>
      </w:pPr>
      <w:r w:rsidRPr="00646101">
        <w:rPr>
          <w:lang w:val="lt-LT"/>
        </w:rPr>
        <w:t>Garantinis laikotarpis:</w:t>
      </w:r>
    </w:p>
    <w:p w14:paraId="54C29A0B" w14:textId="77777777" w:rsidR="00AB4019" w:rsidRDefault="00AB4019" w:rsidP="00AB4019">
      <w:pPr>
        <w:pStyle w:val="Body2"/>
        <w:ind w:left="720"/>
        <w:rPr>
          <w:lang w:val="lt-LT"/>
        </w:rPr>
      </w:pPr>
      <w:r>
        <w:rPr>
          <w:lang w:val="lt-LT"/>
        </w:rPr>
        <w:t xml:space="preserve">6.1. </w:t>
      </w:r>
      <w:r w:rsidRPr="00646101">
        <w:rPr>
          <w:lang w:val="lt-LT"/>
        </w:rPr>
        <w:t>Ne mažiau nei 24 mėn.</w:t>
      </w:r>
    </w:p>
    <w:p w14:paraId="489C8850" w14:textId="77777777" w:rsidR="00AB4019" w:rsidRDefault="00AB4019" w:rsidP="00AB4019">
      <w:pPr>
        <w:pStyle w:val="Body2"/>
        <w:ind w:left="720"/>
        <w:rPr>
          <w:lang w:val="lt-LT"/>
        </w:rPr>
      </w:pPr>
      <w:r>
        <w:rPr>
          <w:lang w:val="lt-LT"/>
        </w:rPr>
        <w:t xml:space="preserve">6.2. </w:t>
      </w:r>
      <w:r w:rsidRPr="00646101">
        <w:rPr>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3826499E" w14:textId="77777777" w:rsidR="00AB4019" w:rsidRDefault="00AB4019" w:rsidP="00AB4019">
      <w:pPr>
        <w:pStyle w:val="Body2"/>
        <w:numPr>
          <w:ilvl w:val="0"/>
          <w:numId w:val="25"/>
        </w:numPr>
        <w:rPr>
          <w:lang w:val="lt-LT"/>
        </w:rPr>
      </w:pPr>
      <w:r w:rsidRPr="00646101">
        <w:rPr>
          <w:lang w:val="lt-LT"/>
        </w:rPr>
        <w:t>Kartu su įranga pateikiama dokumentacija</w:t>
      </w:r>
      <w:r>
        <w:rPr>
          <w:lang w:val="lt-LT"/>
        </w:rPr>
        <w:t>:</w:t>
      </w:r>
    </w:p>
    <w:p w14:paraId="2FE30319" w14:textId="77777777" w:rsidR="00AB4019" w:rsidRDefault="00AB4019" w:rsidP="00AB4019">
      <w:pPr>
        <w:pStyle w:val="Body2"/>
        <w:numPr>
          <w:ilvl w:val="1"/>
          <w:numId w:val="25"/>
        </w:numPr>
        <w:rPr>
          <w:lang w:val="lt-LT"/>
        </w:rPr>
      </w:pPr>
      <w:r w:rsidRPr="00646101">
        <w:rPr>
          <w:lang w:val="lt-LT"/>
        </w:rPr>
        <w:t>Naudojimo instrukcija lietuvių kalba</w:t>
      </w:r>
      <w:r>
        <w:rPr>
          <w:lang w:val="lt-LT"/>
        </w:rPr>
        <w:t>.</w:t>
      </w:r>
    </w:p>
    <w:p w14:paraId="32FAA19C" w14:textId="77777777" w:rsidR="00AB4019" w:rsidRDefault="00AB4019" w:rsidP="00AB4019">
      <w:pPr>
        <w:pStyle w:val="Body2"/>
        <w:numPr>
          <w:ilvl w:val="1"/>
          <w:numId w:val="25"/>
        </w:numPr>
        <w:rPr>
          <w:lang w:val="lt-LT"/>
        </w:rPr>
      </w:pPr>
      <w:r w:rsidRPr="00646101">
        <w:rPr>
          <w:lang w:val="lt-LT"/>
        </w:rPr>
        <w:t>Serviso dokumentacija lietuvių arba anglų kalba.</w:t>
      </w:r>
    </w:p>
    <w:p w14:paraId="5416BB1B" w14:textId="59D7BF43" w:rsidR="00AB4019" w:rsidRDefault="00AB4019" w:rsidP="00AB4019">
      <w:pPr>
        <w:pStyle w:val="Body2"/>
        <w:numPr>
          <w:ilvl w:val="0"/>
          <w:numId w:val="25"/>
        </w:numPr>
        <w:rPr>
          <w:lang w:val="lt-LT"/>
        </w:rPr>
      </w:pPr>
      <w:r w:rsidRPr="00646101">
        <w:rPr>
          <w:lang w:val="lt-LT"/>
        </w:rPr>
        <w:t>Personalo mokymai (po apmokymų pateikti apmokymų aktą / sertifikatą arba kitą mokymų faktą įrodantį dokumentą):</w:t>
      </w:r>
      <w:r>
        <w:rPr>
          <w:lang w:val="lt-LT"/>
        </w:rPr>
        <w:t xml:space="preserve"> </w:t>
      </w:r>
      <w:r w:rsidRPr="00646101">
        <w:rPr>
          <w:rFonts w:hint="eastAsia"/>
          <w:lang w:val="lt-LT"/>
        </w:rPr>
        <w:t xml:space="preserve">Mokymai </w:t>
      </w:r>
      <w:r w:rsidRPr="00646101">
        <w:rPr>
          <w:rFonts w:hint="eastAsia"/>
          <w:lang w:val="lt-LT"/>
        </w:rPr>
        <w:t>≥</w:t>
      </w:r>
      <w:r w:rsidRPr="00646101">
        <w:rPr>
          <w:rFonts w:hint="eastAsia"/>
          <w:lang w:val="lt-LT"/>
        </w:rPr>
        <w:t xml:space="preserve"> </w:t>
      </w:r>
      <w:r>
        <w:rPr>
          <w:lang w:val="lt-LT"/>
        </w:rPr>
        <w:t>20</w:t>
      </w:r>
      <w:r w:rsidRPr="00646101">
        <w:rPr>
          <w:rFonts w:hint="eastAsia"/>
          <w:lang w:val="lt-LT"/>
        </w:rPr>
        <w:t xml:space="preserve"> gydytojų</w:t>
      </w:r>
      <w:r>
        <w:rPr>
          <w:lang w:val="lt-LT"/>
        </w:rPr>
        <w:t>,</w:t>
      </w:r>
      <w:r w:rsidRPr="00AB4019">
        <w:rPr>
          <w:rFonts w:hint="eastAsia"/>
          <w:lang w:val="lt-LT"/>
        </w:rPr>
        <w:t xml:space="preserve"> </w:t>
      </w:r>
      <w:r w:rsidRPr="00646101">
        <w:rPr>
          <w:rFonts w:hint="eastAsia"/>
          <w:lang w:val="lt-LT"/>
        </w:rPr>
        <w:t>≥</w:t>
      </w:r>
      <w:r w:rsidRPr="00646101">
        <w:rPr>
          <w:rFonts w:hint="eastAsia"/>
          <w:lang w:val="lt-LT"/>
        </w:rPr>
        <w:t xml:space="preserve"> </w:t>
      </w:r>
      <w:r>
        <w:rPr>
          <w:lang w:val="lt-LT"/>
        </w:rPr>
        <w:t>20</w:t>
      </w:r>
      <w:r w:rsidRPr="00646101">
        <w:rPr>
          <w:rFonts w:hint="eastAsia"/>
          <w:lang w:val="lt-LT"/>
        </w:rPr>
        <w:t xml:space="preserve"> </w:t>
      </w:r>
      <w:r>
        <w:rPr>
          <w:lang w:val="lt-LT"/>
        </w:rPr>
        <w:t xml:space="preserve">slaugytojų </w:t>
      </w:r>
      <w:r w:rsidRPr="00646101">
        <w:rPr>
          <w:rFonts w:hint="eastAsia"/>
          <w:lang w:val="lt-LT"/>
        </w:rPr>
        <w:t xml:space="preserve">. Trukmė </w:t>
      </w:r>
      <w:r w:rsidRPr="00646101">
        <w:rPr>
          <w:rFonts w:hint="eastAsia"/>
          <w:lang w:val="lt-LT"/>
        </w:rPr>
        <w:t>≥</w:t>
      </w:r>
      <w:r w:rsidRPr="00646101">
        <w:rPr>
          <w:rFonts w:hint="eastAsia"/>
          <w:lang w:val="lt-LT"/>
        </w:rPr>
        <w:t xml:space="preserve"> </w:t>
      </w:r>
      <w:r>
        <w:rPr>
          <w:lang w:val="lt-LT"/>
        </w:rPr>
        <w:t>2</w:t>
      </w:r>
      <w:r w:rsidRPr="00646101">
        <w:rPr>
          <w:rFonts w:hint="eastAsia"/>
          <w:lang w:val="lt-LT"/>
        </w:rPr>
        <w:t xml:space="preserve"> akademinės valandos.</w:t>
      </w:r>
    </w:p>
    <w:p w14:paraId="0714E80F" w14:textId="77777777" w:rsidR="00AB4019" w:rsidRDefault="00AB4019" w:rsidP="00AB4019">
      <w:pPr>
        <w:pStyle w:val="Body2"/>
        <w:numPr>
          <w:ilvl w:val="0"/>
          <w:numId w:val="25"/>
        </w:numPr>
        <w:rPr>
          <w:lang w:val="lt-LT"/>
        </w:rPr>
      </w:pPr>
      <w:r w:rsidRPr="00C85D42">
        <w:rPr>
          <w:lang w:val="lt-LT"/>
        </w:rPr>
        <w:t>Siūlomos prekės turi būti naujos, nenaudotos, neatnaujintos (net ir gamykliniu būdu).</w:t>
      </w:r>
    </w:p>
    <w:p w14:paraId="4817347B" w14:textId="77777777" w:rsidR="00AB4019" w:rsidRDefault="00AB4019" w:rsidP="00AB4019">
      <w:pPr>
        <w:pStyle w:val="Body2"/>
        <w:numPr>
          <w:ilvl w:val="0"/>
          <w:numId w:val="25"/>
        </w:numPr>
        <w:rPr>
          <w:lang w:val="lt-LT"/>
        </w:rPr>
      </w:pPr>
      <w:r w:rsidRPr="00C85D42">
        <w:rPr>
          <w:lang w:val="lt-LT"/>
        </w:rPr>
        <w:t>Privalomas pilnas įrangos instaliavimas (paleidimas, funkcionalumo testavimas, personalo apmokymas darbui su įranga ir t.t).</w:t>
      </w:r>
    </w:p>
    <w:p w14:paraId="6AB90155" w14:textId="3D4532E4" w:rsidR="00FD0E55" w:rsidRPr="00EB0AE2" w:rsidRDefault="00FD0E55" w:rsidP="00AB4019">
      <w:pPr>
        <w:ind w:right="141" w:hanging="567"/>
        <w:jc w:val="both"/>
        <w:rPr>
          <w:sz w:val="22"/>
        </w:rPr>
      </w:pPr>
    </w:p>
    <w:p w14:paraId="7AE2F71A" w14:textId="77777777" w:rsidR="003F5387" w:rsidRDefault="003F5387" w:rsidP="009133BD">
      <w:pPr>
        <w:rPr>
          <w:lang w:val="lt-LT"/>
        </w:rPr>
        <w:sectPr w:rsidR="003F5387" w:rsidSect="00FD0E55">
          <w:footerReference w:type="default" r:id="rId7"/>
          <w:pgSz w:w="11906" w:h="16838"/>
          <w:pgMar w:top="851" w:right="851" w:bottom="851" w:left="1418" w:header="567" w:footer="567" w:gutter="0"/>
          <w:cols w:space="1296"/>
          <w:docGrid w:linePitch="360"/>
        </w:sectPr>
      </w:pPr>
    </w:p>
    <w:p w14:paraId="2628F671" w14:textId="77777777" w:rsidR="00BB4336" w:rsidRPr="00BB4336" w:rsidRDefault="00BB4336" w:rsidP="00AB4019">
      <w:pPr>
        <w:spacing w:line="264" w:lineRule="auto"/>
        <w:rPr>
          <w:b/>
          <w:sz w:val="22"/>
          <w:szCs w:val="22"/>
          <w:lang w:val="lt-LT"/>
        </w:rPr>
      </w:pPr>
    </w:p>
    <w:p w14:paraId="771F6D02" w14:textId="77777777" w:rsidR="00FD0E55" w:rsidRPr="00BB4336" w:rsidRDefault="00FD0E55" w:rsidP="00AB4019">
      <w:pPr>
        <w:spacing w:line="264" w:lineRule="auto"/>
        <w:rPr>
          <w:b/>
          <w:sz w:val="22"/>
          <w:szCs w:val="22"/>
        </w:rPr>
      </w:pPr>
    </w:p>
    <w:p w14:paraId="2DD53CF2" w14:textId="77777777" w:rsidR="00DE5903" w:rsidRPr="00A54335" w:rsidRDefault="00DE5903" w:rsidP="00DE5903">
      <w:pPr>
        <w:rPr>
          <w:rFonts w:eastAsia="Times New Roman"/>
          <w:b/>
          <w:bCs/>
          <w:sz w:val="22"/>
          <w:szCs w:val="22"/>
          <w:lang w:val="lt-LT" w:eastAsia="de-DE"/>
        </w:rPr>
      </w:pPr>
    </w:p>
    <w:tbl>
      <w:tblPr>
        <w:tblW w:w="10345" w:type="dxa"/>
        <w:jc w:val="center"/>
        <w:tblLayout w:type="fixed"/>
        <w:tblCellMar>
          <w:top w:w="55" w:type="dxa"/>
          <w:left w:w="55" w:type="dxa"/>
          <w:bottom w:w="55" w:type="dxa"/>
          <w:right w:w="55" w:type="dxa"/>
        </w:tblCellMar>
        <w:tblLook w:val="04A0" w:firstRow="1" w:lastRow="0" w:firstColumn="1" w:lastColumn="0" w:noHBand="0" w:noVBand="1"/>
      </w:tblPr>
      <w:tblGrid>
        <w:gridCol w:w="567"/>
        <w:gridCol w:w="3258"/>
        <w:gridCol w:w="3969"/>
        <w:gridCol w:w="2551"/>
      </w:tblGrid>
      <w:tr w:rsidR="00DE5903" w:rsidRPr="00A54335" w14:paraId="0889F3E9" w14:textId="77777777" w:rsidTr="00611DD0">
        <w:trPr>
          <w:trHeight w:val="276"/>
          <w:jc w:val="center"/>
        </w:trPr>
        <w:tc>
          <w:tcPr>
            <w:tcW w:w="567" w:type="dxa"/>
            <w:tcBorders>
              <w:top w:val="single" w:sz="2" w:space="0" w:color="000000"/>
              <w:left w:val="single" w:sz="2" w:space="0" w:color="000000"/>
              <w:bottom w:val="single" w:sz="2" w:space="0" w:color="000000"/>
              <w:right w:val="nil"/>
            </w:tcBorders>
            <w:vAlign w:val="center"/>
            <w:hideMark/>
          </w:tcPr>
          <w:p w14:paraId="688FD6CB" w14:textId="77777777" w:rsidR="00DE5903" w:rsidRPr="00A54335" w:rsidRDefault="00DE5903" w:rsidP="00611DD0">
            <w:pPr>
              <w:spacing w:line="256" w:lineRule="auto"/>
              <w:rPr>
                <w:rFonts w:eastAsia="Calibri"/>
                <w:b/>
                <w:sz w:val="22"/>
                <w:szCs w:val="22"/>
                <w:bdr w:val="none" w:sz="0" w:space="0" w:color="auto" w:frame="1"/>
                <w:lang w:val="lt-LT" w:eastAsia="de-DE"/>
              </w:rPr>
            </w:pPr>
            <w:r w:rsidRPr="00A54335">
              <w:rPr>
                <w:rFonts w:eastAsia="Calibri"/>
                <w:b/>
                <w:sz w:val="22"/>
                <w:szCs w:val="22"/>
                <w:bdr w:val="none" w:sz="0" w:space="0" w:color="auto" w:frame="1"/>
                <w:lang w:val="lt-LT" w:eastAsia="de-DE"/>
              </w:rPr>
              <w:t>Eil. Nr.</w:t>
            </w:r>
          </w:p>
        </w:tc>
        <w:tc>
          <w:tcPr>
            <w:tcW w:w="3258" w:type="dxa"/>
            <w:tcBorders>
              <w:top w:val="single" w:sz="2" w:space="0" w:color="000000"/>
              <w:left w:val="single" w:sz="2" w:space="0" w:color="000000"/>
              <w:bottom w:val="single" w:sz="2" w:space="0" w:color="000000"/>
              <w:right w:val="nil"/>
            </w:tcBorders>
            <w:vAlign w:val="center"/>
            <w:hideMark/>
          </w:tcPr>
          <w:p w14:paraId="71302380" w14:textId="77777777" w:rsidR="00DE5903" w:rsidRPr="00A54335" w:rsidRDefault="00DE5903" w:rsidP="00611DD0">
            <w:pPr>
              <w:spacing w:line="256" w:lineRule="auto"/>
              <w:jc w:val="center"/>
              <w:rPr>
                <w:b/>
                <w:sz w:val="22"/>
                <w:szCs w:val="22"/>
                <w:bdr w:val="none" w:sz="0" w:space="0" w:color="auto" w:frame="1"/>
                <w:lang w:val="lt-LT" w:eastAsia="de-DE"/>
              </w:rPr>
            </w:pPr>
            <w:r w:rsidRPr="00A54335">
              <w:rPr>
                <w:rFonts w:eastAsia="Calibri"/>
                <w:b/>
                <w:sz w:val="22"/>
                <w:szCs w:val="22"/>
                <w:bdr w:val="none" w:sz="0" w:space="0" w:color="auto" w:frame="1"/>
                <w:lang w:val="lt-LT" w:eastAsia="de-DE"/>
              </w:rPr>
              <w:t>Parametra</w:t>
            </w:r>
            <w:r>
              <w:rPr>
                <w:rFonts w:eastAsia="Calibri"/>
                <w:b/>
                <w:sz w:val="22"/>
                <w:szCs w:val="22"/>
                <w:bdr w:val="none" w:sz="0" w:space="0" w:color="auto" w:frame="1"/>
                <w:lang w:val="lt-LT" w:eastAsia="de-DE"/>
              </w:rPr>
              <w:t>i</w:t>
            </w:r>
          </w:p>
        </w:tc>
        <w:tc>
          <w:tcPr>
            <w:tcW w:w="3969" w:type="dxa"/>
            <w:tcBorders>
              <w:top w:val="single" w:sz="2" w:space="0" w:color="000000"/>
              <w:left w:val="single" w:sz="2" w:space="0" w:color="000000"/>
              <w:bottom w:val="single" w:sz="2" w:space="0" w:color="000000"/>
              <w:right w:val="single" w:sz="2" w:space="0" w:color="000000"/>
            </w:tcBorders>
            <w:vAlign w:val="center"/>
            <w:hideMark/>
          </w:tcPr>
          <w:p w14:paraId="5ECEEC12" w14:textId="77777777" w:rsidR="00DE5903" w:rsidRPr="00A54335" w:rsidRDefault="00DE5903" w:rsidP="00611DD0">
            <w:pPr>
              <w:spacing w:line="256" w:lineRule="auto"/>
              <w:ind w:left="370" w:hanging="370"/>
              <w:jc w:val="center"/>
              <w:rPr>
                <w:b/>
                <w:sz w:val="22"/>
                <w:szCs w:val="22"/>
                <w:bdr w:val="none" w:sz="0" w:space="0" w:color="auto" w:frame="1"/>
                <w:lang w:val="lt-LT" w:eastAsia="de-DE"/>
              </w:rPr>
            </w:pPr>
            <w:r w:rsidRPr="00A54335">
              <w:rPr>
                <w:rFonts w:eastAsia="Calibri"/>
                <w:b/>
                <w:sz w:val="22"/>
                <w:szCs w:val="22"/>
                <w:bdr w:val="none" w:sz="0" w:space="0" w:color="auto" w:frame="1"/>
                <w:lang w:val="lt-LT" w:eastAsia="de-DE"/>
              </w:rPr>
              <w:t>Reikalaujamos parametr</w:t>
            </w:r>
            <w:r>
              <w:rPr>
                <w:rFonts w:eastAsia="Calibri"/>
                <w:b/>
                <w:sz w:val="22"/>
                <w:szCs w:val="22"/>
                <w:bdr w:val="none" w:sz="0" w:space="0" w:color="auto" w:frame="1"/>
                <w:lang w:val="lt-LT" w:eastAsia="de-DE"/>
              </w:rPr>
              <w:t>ų</w:t>
            </w:r>
            <w:r w:rsidRPr="00A54335">
              <w:rPr>
                <w:rFonts w:eastAsia="Calibri"/>
                <w:b/>
                <w:sz w:val="22"/>
                <w:szCs w:val="22"/>
                <w:bdr w:val="none" w:sz="0" w:space="0" w:color="auto" w:frame="1"/>
                <w:lang w:val="lt-LT" w:eastAsia="de-DE"/>
              </w:rPr>
              <w:t xml:space="preserve"> reikšmės</w:t>
            </w:r>
          </w:p>
        </w:tc>
        <w:tc>
          <w:tcPr>
            <w:tcW w:w="2551" w:type="dxa"/>
            <w:tcBorders>
              <w:top w:val="single" w:sz="2" w:space="0" w:color="000000"/>
              <w:left w:val="single" w:sz="2" w:space="0" w:color="000000"/>
              <w:bottom w:val="single" w:sz="2" w:space="0" w:color="000000"/>
              <w:right w:val="single" w:sz="2" w:space="0" w:color="000000"/>
            </w:tcBorders>
            <w:vAlign w:val="center"/>
            <w:hideMark/>
          </w:tcPr>
          <w:p w14:paraId="43435112" w14:textId="77777777" w:rsidR="00DE5903" w:rsidRPr="00A54335" w:rsidRDefault="00DE5903" w:rsidP="00611DD0">
            <w:pPr>
              <w:spacing w:line="256" w:lineRule="auto"/>
              <w:jc w:val="center"/>
              <w:rPr>
                <w:b/>
                <w:sz w:val="22"/>
                <w:szCs w:val="22"/>
                <w:highlight w:val="yellow"/>
                <w:bdr w:val="none" w:sz="0" w:space="0" w:color="auto" w:frame="1"/>
                <w:lang w:val="lt-LT" w:eastAsia="de-DE"/>
              </w:rPr>
            </w:pPr>
            <w:r w:rsidRPr="00A54335">
              <w:rPr>
                <w:rFonts w:eastAsia="Calibri"/>
                <w:b/>
                <w:sz w:val="22"/>
                <w:szCs w:val="22"/>
                <w:bdr w:val="none" w:sz="0" w:space="0" w:color="auto" w:frame="1"/>
                <w:lang w:val="lt-LT" w:eastAsia="de-DE"/>
              </w:rPr>
              <w:t>Siūlomos parametr</w:t>
            </w:r>
            <w:r>
              <w:rPr>
                <w:rFonts w:eastAsia="Calibri"/>
                <w:b/>
                <w:sz w:val="22"/>
                <w:szCs w:val="22"/>
                <w:bdr w:val="none" w:sz="0" w:space="0" w:color="auto" w:frame="1"/>
                <w:lang w:val="lt-LT" w:eastAsia="de-DE"/>
              </w:rPr>
              <w:t xml:space="preserve">ų </w:t>
            </w:r>
            <w:r w:rsidRPr="00A54335">
              <w:rPr>
                <w:rFonts w:eastAsia="Calibri"/>
                <w:b/>
                <w:sz w:val="22"/>
                <w:szCs w:val="22"/>
                <w:bdr w:val="none" w:sz="0" w:space="0" w:color="auto" w:frame="1"/>
                <w:lang w:val="lt-LT" w:eastAsia="de-DE"/>
              </w:rPr>
              <w:t>reikšmės</w:t>
            </w:r>
          </w:p>
        </w:tc>
      </w:tr>
      <w:tr w:rsidR="00DE5903" w:rsidRPr="00A54335" w14:paraId="13FFFBCA" w14:textId="77777777" w:rsidTr="00611DD0">
        <w:trPr>
          <w:trHeight w:val="276"/>
          <w:jc w:val="center"/>
        </w:trPr>
        <w:tc>
          <w:tcPr>
            <w:tcW w:w="567" w:type="dxa"/>
            <w:tcBorders>
              <w:top w:val="single" w:sz="2" w:space="0" w:color="000000"/>
              <w:left w:val="single" w:sz="2" w:space="0" w:color="000000"/>
              <w:bottom w:val="single" w:sz="2" w:space="0" w:color="000000"/>
              <w:right w:val="nil"/>
            </w:tcBorders>
            <w:vAlign w:val="center"/>
          </w:tcPr>
          <w:p w14:paraId="2F5EF95A" w14:textId="77777777" w:rsidR="00DE5903" w:rsidRPr="00A54335" w:rsidRDefault="00DE5903" w:rsidP="00611DD0">
            <w:pPr>
              <w:spacing w:line="256" w:lineRule="auto"/>
              <w:rPr>
                <w:rFonts w:eastAsia="Calibri"/>
                <w:b/>
                <w:sz w:val="22"/>
                <w:szCs w:val="22"/>
                <w:bdr w:val="none" w:sz="0" w:space="0" w:color="auto" w:frame="1"/>
                <w:lang w:val="lt-LT" w:eastAsia="de-DE"/>
              </w:rPr>
            </w:pPr>
          </w:p>
        </w:tc>
        <w:tc>
          <w:tcPr>
            <w:tcW w:w="3258" w:type="dxa"/>
            <w:tcBorders>
              <w:top w:val="single" w:sz="2" w:space="0" w:color="000000"/>
              <w:left w:val="single" w:sz="2" w:space="0" w:color="000000"/>
              <w:bottom w:val="single" w:sz="2" w:space="0" w:color="000000"/>
              <w:right w:val="nil"/>
            </w:tcBorders>
            <w:vAlign w:val="center"/>
          </w:tcPr>
          <w:p w14:paraId="6990C503" w14:textId="77777777" w:rsidR="00DE5903" w:rsidRPr="00A54335" w:rsidRDefault="00DE5903" w:rsidP="00611DD0">
            <w:pPr>
              <w:spacing w:line="256" w:lineRule="auto"/>
              <w:jc w:val="both"/>
              <w:rPr>
                <w:rFonts w:eastAsia="Calibri"/>
                <w:bCs/>
                <w:sz w:val="22"/>
                <w:szCs w:val="22"/>
                <w:bdr w:val="none" w:sz="0" w:space="0" w:color="auto" w:frame="1"/>
                <w:lang w:val="lt-LT" w:eastAsia="de-DE"/>
              </w:rPr>
            </w:pPr>
            <w:r w:rsidRPr="00A54335">
              <w:rPr>
                <w:rFonts w:eastAsia="Calibri"/>
                <w:bCs/>
                <w:sz w:val="22"/>
                <w:szCs w:val="22"/>
                <w:bdr w:val="none" w:sz="0" w:space="0" w:color="auto" w:frame="1"/>
                <w:lang w:val="lt-LT" w:eastAsia="de-DE"/>
              </w:rPr>
              <w:t>Siūlomos prekės pavadinimas (modelis, konkreti modifikacija), gamintojas, kilmės šalis</w:t>
            </w:r>
          </w:p>
        </w:tc>
        <w:tc>
          <w:tcPr>
            <w:tcW w:w="3969" w:type="dxa"/>
            <w:tcBorders>
              <w:top w:val="single" w:sz="2" w:space="0" w:color="000000"/>
              <w:left w:val="single" w:sz="2" w:space="0" w:color="000000"/>
              <w:bottom w:val="single" w:sz="2" w:space="0" w:color="000000"/>
              <w:right w:val="single" w:sz="2" w:space="0" w:color="000000"/>
            </w:tcBorders>
          </w:tcPr>
          <w:p w14:paraId="71E303B1" w14:textId="77777777" w:rsidR="00DE5903" w:rsidRPr="00A54335" w:rsidRDefault="00DE5903" w:rsidP="00611DD0">
            <w:pPr>
              <w:spacing w:line="256" w:lineRule="auto"/>
              <w:rPr>
                <w:rFonts w:eastAsia="Calibri"/>
                <w:bCs/>
                <w:sz w:val="22"/>
                <w:szCs w:val="22"/>
                <w:bdr w:val="none" w:sz="0" w:space="0" w:color="auto" w:frame="1"/>
                <w:lang w:val="lt-LT" w:eastAsia="de-DE"/>
              </w:rPr>
            </w:pPr>
            <w:r w:rsidRPr="00A54335">
              <w:rPr>
                <w:rFonts w:eastAsia="Calibri"/>
                <w:bCs/>
                <w:sz w:val="22"/>
                <w:szCs w:val="22"/>
                <w:bdr w:val="none" w:sz="0" w:space="0" w:color="auto" w:frame="1"/>
                <w:lang w:val="lt-LT" w:eastAsia="de-DE"/>
              </w:rPr>
              <w:t xml:space="preserve">Nurodyti </w:t>
            </w:r>
          </w:p>
        </w:tc>
        <w:tc>
          <w:tcPr>
            <w:tcW w:w="2551" w:type="dxa"/>
            <w:tcBorders>
              <w:top w:val="single" w:sz="2" w:space="0" w:color="000000"/>
              <w:left w:val="single" w:sz="2" w:space="0" w:color="000000"/>
              <w:bottom w:val="single" w:sz="2" w:space="0" w:color="000000"/>
              <w:right w:val="single" w:sz="2" w:space="0" w:color="000000"/>
            </w:tcBorders>
            <w:vAlign w:val="center"/>
          </w:tcPr>
          <w:p w14:paraId="2D1183F4" w14:textId="77777777" w:rsidR="00DE5903" w:rsidRPr="00A54335" w:rsidRDefault="00DE5903" w:rsidP="00611DD0">
            <w:pPr>
              <w:spacing w:line="256" w:lineRule="auto"/>
              <w:jc w:val="center"/>
              <w:rPr>
                <w:rFonts w:eastAsia="Calibri"/>
                <w:b/>
                <w:sz w:val="22"/>
                <w:szCs w:val="22"/>
                <w:bdr w:val="none" w:sz="0" w:space="0" w:color="auto" w:frame="1"/>
                <w:lang w:val="lt-LT" w:eastAsia="de-DE"/>
              </w:rPr>
            </w:pPr>
          </w:p>
        </w:tc>
      </w:tr>
      <w:tr w:rsidR="00DE5903" w:rsidRPr="00A54335" w14:paraId="20B1CAFD"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567" w:type="dxa"/>
            <w:tcBorders>
              <w:top w:val="single" w:sz="4" w:space="0" w:color="auto"/>
              <w:left w:val="single" w:sz="4" w:space="0" w:color="auto"/>
              <w:bottom w:val="single" w:sz="4" w:space="0" w:color="auto"/>
              <w:right w:val="single" w:sz="4" w:space="0" w:color="auto"/>
            </w:tcBorders>
          </w:tcPr>
          <w:p w14:paraId="5E6B272F"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4FCB15C2" w14:textId="77777777" w:rsidR="00DE5903" w:rsidRPr="00A54335" w:rsidRDefault="00DE5903" w:rsidP="00611DD0">
            <w:pPr>
              <w:spacing w:line="264" w:lineRule="auto"/>
              <w:rPr>
                <w:rFonts w:eastAsia="Times New Roman"/>
                <w:sz w:val="22"/>
                <w:szCs w:val="22"/>
                <w:lang w:val="lt-LT" w:eastAsia="de-DE"/>
              </w:rPr>
            </w:pPr>
            <w:proofErr w:type="spellStart"/>
            <w:r w:rsidRPr="00A54335">
              <w:rPr>
                <w:rFonts w:eastAsia="Times New Roman"/>
                <w:sz w:val="22"/>
                <w:szCs w:val="22"/>
                <w:lang w:val="lt-LT" w:eastAsia="de-DE"/>
              </w:rPr>
              <w:t>Enterinio</w:t>
            </w:r>
            <w:proofErr w:type="spellEnd"/>
            <w:r w:rsidRPr="00A54335">
              <w:rPr>
                <w:rFonts w:eastAsia="Times New Roman"/>
                <w:sz w:val="22"/>
                <w:szCs w:val="22"/>
                <w:lang w:val="lt-LT" w:eastAsia="de-DE"/>
              </w:rPr>
              <w:t xml:space="preserve"> maitinimo pompos paskirtis (taikymas)</w:t>
            </w:r>
          </w:p>
        </w:tc>
        <w:tc>
          <w:tcPr>
            <w:tcW w:w="3969" w:type="dxa"/>
            <w:tcBorders>
              <w:top w:val="single" w:sz="4" w:space="0" w:color="auto"/>
              <w:left w:val="single" w:sz="4" w:space="0" w:color="auto"/>
              <w:bottom w:val="single" w:sz="4" w:space="0" w:color="auto"/>
              <w:right w:val="single" w:sz="4" w:space="0" w:color="auto"/>
            </w:tcBorders>
            <w:hideMark/>
          </w:tcPr>
          <w:p w14:paraId="3D0E8B98" w14:textId="77777777" w:rsidR="00DE5903" w:rsidRPr="00A54335" w:rsidRDefault="00DE5903" w:rsidP="00611DD0">
            <w:pPr>
              <w:jc w:val="both"/>
              <w:rPr>
                <w:rFonts w:eastAsia="Times New Roman"/>
                <w:sz w:val="22"/>
                <w:szCs w:val="22"/>
                <w:lang w:val="lt-LT" w:eastAsia="de-DE"/>
              </w:rPr>
            </w:pPr>
            <w:r w:rsidRPr="00A54335">
              <w:rPr>
                <w:rFonts w:eastAsia="Times New Roman"/>
                <w:sz w:val="22"/>
                <w:szCs w:val="22"/>
                <w:lang w:val="lt-LT" w:eastAsia="de-DE"/>
              </w:rPr>
              <w:t xml:space="preserve">Programuojama pompa </w:t>
            </w:r>
            <w:proofErr w:type="spellStart"/>
            <w:r w:rsidRPr="00A54335">
              <w:rPr>
                <w:rFonts w:eastAsia="Times New Roman"/>
                <w:sz w:val="22"/>
                <w:szCs w:val="22"/>
                <w:lang w:val="lt-LT" w:eastAsia="de-DE"/>
              </w:rPr>
              <w:t>enterinio</w:t>
            </w:r>
            <w:proofErr w:type="spellEnd"/>
            <w:r w:rsidRPr="00A54335">
              <w:rPr>
                <w:rFonts w:eastAsia="Times New Roman"/>
                <w:sz w:val="22"/>
                <w:szCs w:val="22"/>
                <w:lang w:val="lt-LT" w:eastAsia="de-DE"/>
              </w:rPr>
              <w:t xml:space="preserve"> maitinimo tirpalams </w:t>
            </w:r>
            <w:proofErr w:type="spellStart"/>
            <w:r w:rsidRPr="00A54335">
              <w:rPr>
                <w:rFonts w:eastAsia="Times New Roman"/>
                <w:sz w:val="22"/>
                <w:szCs w:val="22"/>
                <w:lang w:val="lt-LT" w:eastAsia="de-DE"/>
              </w:rPr>
              <w:t>infuzuoti</w:t>
            </w:r>
            <w:proofErr w:type="spellEnd"/>
          </w:p>
        </w:tc>
        <w:tc>
          <w:tcPr>
            <w:tcW w:w="2551" w:type="dxa"/>
            <w:tcBorders>
              <w:top w:val="single" w:sz="4" w:space="0" w:color="auto"/>
              <w:left w:val="single" w:sz="4" w:space="0" w:color="auto"/>
              <w:bottom w:val="single" w:sz="4" w:space="0" w:color="auto"/>
              <w:right w:val="single" w:sz="4" w:space="0" w:color="auto"/>
            </w:tcBorders>
          </w:tcPr>
          <w:p w14:paraId="720E1112" w14:textId="77777777" w:rsidR="00DE5903" w:rsidRPr="00A54335" w:rsidRDefault="00DE5903" w:rsidP="00611DD0">
            <w:pPr>
              <w:spacing w:line="264" w:lineRule="auto"/>
              <w:rPr>
                <w:rFonts w:eastAsia="Times New Roman"/>
                <w:b/>
                <w:bCs/>
                <w:sz w:val="22"/>
                <w:szCs w:val="22"/>
                <w:lang w:val="lt-LT" w:eastAsia="de-DE"/>
              </w:rPr>
            </w:pPr>
          </w:p>
        </w:tc>
      </w:tr>
      <w:tr w:rsidR="00DE5903" w:rsidRPr="00A54335" w14:paraId="4A16E98F"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567" w:type="dxa"/>
            <w:tcBorders>
              <w:top w:val="single" w:sz="4" w:space="0" w:color="auto"/>
              <w:left w:val="single" w:sz="4" w:space="0" w:color="auto"/>
              <w:bottom w:val="single" w:sz="4" w:space="0" w:color="auto"/>
              <w:right w:val="single" w:sz="4" w:space="0" w:color="auto"/>
            </w:tcBorders>
          </w:tcPr>
          <w:p w14:paraId="5FC511AB"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2643AB15"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Reguliuojami infuzijos parametrai:</w:t>
            </w:r>
          </w:p>
        </w:tc>
        <w:tc>
          <w:tcPr>
            <w:tcW w:w="3969" w:type="dxa"/>
            <w:tcBorders>
              <w:top w:val="single" w:sz="4" w:space="0" w:color="auto"/>
              <w:left w:val="single" w:sz="4" w:space="0" w:color="auto"/>
              <w:bottom w:val="single" w:sz="4" w:space="0" w:color="auto"/>
              <w:right w:val="single" w:sz="4" w:space="0" w:color="auto"/>
            </w:tcBorders>
          </w:tcPr>
          <w:p w14:paraId="0D0715EE" w14:textId="77777777" w:rsidR="00DE5903" w:rsidRPr="00A54335" w:rsidRDefault="00DE5903" w:rsidP="00611DD0">
            <w:pPr>
              <w:jc w:val="both"/>
              <w:rPr>
                <w:rFonts w:eastAsia="Times New Roman"/>
                <w:sz w:val="22"/>
                <w:szCs w:val="22"/>
                <w:lang w:val="lt-LT" w:eastAsia="de-DE"/>
              </w:rPr>
            </w:pPr>
          </w:p>
        </w:tc>
        <w:tc>
          <w:tcPr>
            <w:tcW w:w="2551" w:type="dxa"/>
            <w:tcBorders>
              <w:top w:val="single" w:sz="4" w:space="0" w:color="auto"/>
              <w:left w:val="single" w:sz="4" w:space="0" w:color="auto"/>
              <w:bottom w:val="single" w:sz="4" w:space="0" w:color="auto"/>
              <w:right w:val="single" w:sz="4" w:space="0" w:color="auto"/>
            </w:tcBorders>
          </w:tcPr>
          <w:p w14:paraId="63E10202" w14:textId="77777777" w:rsidR="00DE5903" w:rsidRPr="00A54335" w:rsidRDefault="00DE5903" w:rsidP="00611DD0">
            <w:pPr>
              <w:spacing w:line="264" w:lineRule="auto"/>
              <w:rPr>
                <w:rFonts w:eastAsia="Times New Roman"/>
                <w:sz w:val="22"/>
                <w:szCs w:val="22"/>
                <w:lang w:val="lt-LT" w:eastAsia="de-DE"/>
              </w:rPr>
            </w:pPr>
          </w:p>
        </w:tc>
      </w:tr>
      <w:tr w:rsidR="00DE5903" w:rsidRPr="00A54335" w14:paraId="133AFDC8"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567" w:type="dxa"/>
            <w:tcBorders>
              <w:top w:val="single" w:sz="4" w:space="0" w:color="auto"/>
              <w:left w:val="single" w:sz="4" w:space="0" w:color="auto"/>
              <w:bottom w:val="single" w:sz="4" w:space="0" w:color="auto"/>
              <w:right w:val="single" w:sz="4" w:space="0" w:color="auto"/>
            </w:tcBorders>
            <w:hideMark/>
          </w:tcPr>
          <w:p w14:paraId="6C0ADCD3" w14:textId="77777777" w:rsidR="00DE5903" w:rsidRPr="00A54335" w:rsidRDefault="00DE5903" w:rsidP="00611DD0">
            <w:pPr>
              <w:spacing w:line="264" w:lineRule="auto"/>
              <w:jc w:val="center"/>
              <w:rPr>
                <w:rFonts w:eastAsia="Times New Roman"/>
                <w:sz w:val="22"/>
                <w:szCs w:val="22"/>
                <w:lang w:val="lt-LT" w:eastAsia="de-DE"/>
              </w:rPr>
            </w:pPr>
            <w:r w:rsidRPr="00A54335">
              <w:rPr>
                <w:rFonts w:eastAsia="Times New Roman"/>
                <w:sz w:val="22"/>
                <w:szCs w:val="22"/>
                <w:lang w:val="lt-LT" w:eastAsia="de-DE"/>
              </w:rPr>
              <w:t>2.1</w:t>
            </w:r>
          </w:p>
        </w:tc>
        <w:tc>
          <w:tcPr>
            <w:tcW w:w="3258" w:type="dxa"/>
            <w:tcBorders>
              <w:top w:val="single" w:sz="4" w:space="0" w:color="auto"/>
              <w:left w:val="single" w:sz="4" w:space="0" w:color="auto"/>
              <w:bottom w:val="single" w:sz="4" w:space="0" w:color="auto"/>
              <w:right w:val="single" w:sz="4" w:space="0" w:color="auto"/>
            </w:tcBorders>
            <w:hideMark/>
          </w:tcPr>
          <w:p w14:paraId="77C68E99"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Infuzijos greitis (reguliuojamas ne siauresnėse ribose už nurodytas)</w:t>
            </w:r>
          </w:p>
        </w:tc>
        <w:tc>
          <w:tcPr>
            <w:tcW w:w="3969" w:type="dxa"/>
            <w:tcBorders>
              <w:top w:val="single" w:sz="4" w:space="0" w:color="auto"/>
              <w:left w:val="single" w:sz="4" w:space="0" w:color="auto"/>
              <w:bottom w:val="single" w:sz="4" w:space="0" w:color="auto"/>
              <w:right w:val="single" w:sz="4" w:space="0" w:color="auto"/>
            </w:tcBorders>
            <w:hideMark/>
          </w:tcPr>
          <w:p w14:paraId="17597ED8" w14:textId="77777777" w:rsidR="00DE5903" w:rsidRPr="00A54335" w:rsidRDefault="00DE5903" w:rsidP="00611DD0">
            <w:pPr>
              <w:jc w:val="both"/>
              <w:rPr>
                <w:rFonts w:eastAsia="Times New Roman"/>
                <w:sz w:val="22"/>
                <w:szCs w:val="22"/>
                <w:lang w:val="lt-LT" w:eastAsia="de-DE"/>
              </w:rPr>
            </w:pPr>
            <w:r w:rsidRPr="00A54335">
              <w:rPr>
                <w:rFonts w:eastAsia="Times New Roman"/>
                <w:sz w:val="22"/>
                <w:szCs w:val="22"/>
                <w:lang w:val="lt-LT" w:eastAsia="de-DE"/>
              </w:rPr>
              <w:t>1 – 400  ml/h (≤ 1 ml/h žingsniu)</w:t>
            </w:r>
          </w:p>
        </w:tc>
        <w:tc>
          <w:tcPr>
            <w:tcW w:w="2551" w:type="dxa"/>
            <w:tcBorders>
              <w:top w:val="single" w:sz="4" w:space="0" w:color="auto"/>
              <w:left w:val="single" w:sz="4" w:space="0" w:color="auto"/>
              <w:bottom w:val="single" w:sz="4" w:space="0" w:color="auto"/>
              <w:right w:val="single" w:sz="4" w:space="0" w:color="auto"/>
            </w:tcBorders>
          </w:tcPr>
          <w:p w14:paraId="5F63D04D" w14:textId="77777777" w:rsidR="00DE5903" w:rsidRPr="00A54335" w:rsidRDefault="00DE5903" w:rsidP="00611DD0">
            <w:pPr>
              <w:spacing w:line="264" w:lineRule="auto"/>
              <w:rPr>
                <w:rFonts w:eastAsia="Times New Roman"/>
                <w:sz w:val="22"/>
                <w:szCs w:val="22"/>
                <w:lang w:val="lt-LT" w:eastAsia="de-DE"/>
              </w:rPr>
            </w:pPr>
          </w:p>
        </w:tc>
      </w:tr>
      <w:tr w:rsidR="00DE5903" w:rsidRPr="00A54335" w14:paraId="1A7D2F20"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567" w:type="dxa"/>
            <w:tcBorders>
              <w:top w:val="single" w:sz="4" w:space="0" w:color="auto"/>
              <w:left w:val="single" w:sz="4" w:space="0" w:color="auto"/>
              <w:bottom w:val="single" w:sz="4" w:space="0" w:color="auto"/>
              <w:right w:val="single" w:sz="4" w:space="0" w:color="auto"/>
            </w:tcBorders>
            <w:hideMark/>
          </w:tcPr>
          <w:p w14:paraId="59269308" w14:textId="77777777" w:rsidR="00DE5903" w:rsidRPr="00A54335" w:rsidRDefault="00DE5903" w:rsidP="00611DD0">
            <w:pPr>
              <w:spacing w:line="264" w:lineRule="auto"/>
              <w:jc w:val="center"/>
              <w:rPr>
                <w:rFonts w:eastAsia="Times New Roman"/>
                <w:sz w:val="22"/>
                <w:szCs w:val="22"/>
                <w:lang w:val="lt-LT" w:eastAsia="de-DE"/>
              </w:rPr>
            </w:pPr>
            <w:r w:rsidRPr="00A54335">
              <w:rPr>
                <w:rFonts w:eastAsia="Times New Roman"/>
                <w:sz w:val="22"/>
                <w:szCs w:val="22"/>
                <w:lang w:val="lt-LT" w:eastAsia="de-DE"/>
              </w:rPr>
              <w:t>2.2</w:t>
            </w:r>
          </w:p>
        </w:tc>
        <w:tc>
          <w:tcPr>
            <w:tcW w:w="3258" w:type="dxa"/>
            <w:tcBorders>
              <w:top w:val="single" w:sz="4" w:space="0" w:color="auto"/>
              <w:left w:val="single" w:sz="4" w:space="0" w:color="auto"/>
              <w:bottom w:val="single" w:sz="4" w:space="0" w:color="auto"/>
              <w:right w:val="single" w:sz="4" w:space="0" w:color="auto"/>
            </w:tcBorders>
            <w:hideMark/>
          </w:tcPr>
          <w:p w14:paraId="37E38EA5"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Infuzijos tūris (reguliuojamas ne siauresnėse ribose už nurodytas)</w:t>
            </w:r>
          </w:p>
        </w:tc>
        <w:tc>
          <w:tcPr>
            <w:tcW w:w="3969" w:type="dxa"/>
            <w:tcBorders>
              <w:top w:val="single" w:sz="4" w:space="0" w:color="auto"/>
              <w:left w:val="single" w:sz="4" w:space="0" w:color="auto"/>
              <w:bottom w:val="single" w:sz="4" w:space="0" w:color="auto"/>
              <w:right w:val="single" w:sz="4" w:space="0" w:color="auto"/>
            </w:tcBorders>
            <w:hideMark/>
          </w:tcPr>
          <w:p w14:paraId="2FE429A2" w14:textId="77777777" w:rsidR="00DE5903" w:rsidRPr="00A54335" w:rsidRDefault="00DE5903" w:rsidP="00611DD0">
            <w:pPr>
              <w:jc w:val="both"/>
              <w:rPr>
                <w:rFonts w:eastAsia="Times New Roman"/>
                <w:sz w:val="22"/>
                <w:szCs w:val="22"/>
                <w:lang w:val="lt-LT" w:eastAsia="de-DE"/>
              </w:rPr>
            </w:pPr>
            <w:r w:rsidRPr="00A54335">
              <w:rPr>
                <w:rFonts w:eastAsia="Times New Roman"/>
                <w:sz w:val="22"/>
                <w:szCs w:val="22"/>
                <w:lang w:val="lt-LT" w:eastAsia="de-DE"/>
              </w:rPr>
              <w:t>1 – 4000 ml (≤ 1 ml žingsniu)</w:t>
            </w:r>
          </w:p>
        </w:tc>
        <w:tc>
          <w:tcPr>
            <w:tcW w:w="2551" w:type="dxa"/>
            <w:tcBorders>
              <w:top w:val="single" w:sz="4" w:space="0" w:color="auto"/>
              <w:left w:val="single" w:sz="4" w:space="0" w:color="auto"/>
              <w:bottom w:val="single" w:sz="4" w:space="0" w:color="auto"/>
              <w:right w:val="single" w:sz="4" w:space="0" w:color="auto"/>
            </w:tcBorders>
          </w:tcPr>
          <w:p w14:paraId="5F1DEF96" w14:textId="77777777" w:rsidR="00DE5903" w:rsidRPr="00A54335" w:rsidRDefault="00DE5903" w:rsidP="00611DD0">
            <w:pPr>
              <w:spacing w:line="264" w:lineRule="auto"/>
              <w:jc w:val="both"/>
              <w:rPr>
                <w:rFonts w:eastAsia="Times New Roman"/>
                <w:sz w:val="22"/>
                <w:szCs w:val="22"/>
                <w:lang w:val="lt-LT" w:eastAsia="de-DE"/>
              </w:rPr>
            </w:pPr>
          </w:p>
        </w:tc>
      </w:tr>
      <w:tr w:rsidR="00DE5903" w:rsidRPr="00A54335" w14:paraId="066CF8F8"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hideMark/>
          </w:tcPr>
          <w:p w14:paraId="4F85AC1A" w14:textId="77777777" w:rsidR="00DE5903" w:rsidRPr="00A54335" w:rsidRDefault="00DE5903" w:rsidP="00611DD0">
            <w:pPr>
              <w:spacing w:line="264" w:lineRule="auto"/>
              <w:jc w:val="center"/>
              <w:rPr>
                <w:rFonts w:eastAsia="Times New Roman"/>
                <w:sz w:val="22"/>
                <w:szCs w:val="22"/>
                <w:lang w:val="lt-LT" w:eastAsia="de-DE"/>
              </w:rPr>
            </w:pPr>
            <w:r w:rsidRPr="00A54335">
              <w:rPr>
                <w:rFonts w:eastAsia="Times New Roman"/>
                <w:sz w:val="22"/>
                <w:szCs w:val="22"/>
                <w:lang w:val="lt-LT" w:eastAsia="de-DE"/>
              </w:rPr>
              <w:t>2.3</w:t>
            </w:r>
          </w:p>
        </w:tc>
        <w:tc>
          <w:tcPr>
            <w:tcW w:w="3258" w:type="dxa"/>
            <w:tcBorders>
              <w:top w:val="single" w:sz="4" w:space="0" w:color="auto"/>
              <w:left w:val="single" w:sz="4" w:space="0" w:color="auto"/>
              <w:bottom w:val="single" w:sz="4" w:space="0" w:color="auto"/>
              <w:right w:val="single" w:sz="4" w:space="0" w:color="auto"/>
            </w:tcBorders>
            <w:hideMark/>
          </w:tcPr>
          <w:p w14:paraId="5628343D"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Smūginės dozės („</w:t>
            </w:r>
            <w:proofErr w:type="spellStart"/>
            <w:r w:rsidRPr="00A54335">
              <w:rPr>
                <w:rFonts w:eastAsia="Times New Roman"/>
                <w:sz w:val="22"/>
                <w:szCs w:val="22"/>
                <w:lang w:val="lt-LT" w:eastAsia="de-DE"/>
              </w:rPr>
              <w:t>bolius</w:t>
            </w:r>
            <w:proofErr w:type="spellEnd"/>
            <w:r w:rsidRPr="00A54335">
              <w:rPr>
                <w:rFonts w:eastAsia="Times New Roman"/>
                <w:sz w:val="22"/>
                <w:szCs w:val="22"/>
                <w:lang w:val="lt-LT" w:eastAsia="de-DE"/>
              </w:rPr>
              <w:t>“)  greitis (reguliuojamas ne siauresnėse ribose už nurodytas)</w:t>
            </w:r>
          </w:p>
        </w:tc>
        <w:tc>
          <w:tcPr>
            <w:tcW w:w="3969" w:type="dxa"/>
            <w:tcBorders>
              <w:top w:val="single" w:sz="4" w:space="0" w:color="auto"/>
              <w:left w:val="single" w:sz="4" w:space="0" w:color="auto"/>
              <w:bottom w:val="single" w:sz="4" w:space="0" w:color="auto"/>
              <w:right w:val="single" w:sz="4" w:space="0" w:color="auto"/>
            </w:tcBorders>
            <w:hideMark/>
          </w:tcPr>
          <w:p w14:paraId="5F68FD59" w14:textId="77777777" w:rsidR="00DE5903" w:rsidRPr="00A54335" w:rsidRDefault="00DE5903" w:rsidP="00611DD0">
            <w:pPr>
              <w:jc w:val="both"/>
              <w:rPr>
                <w:rFonts w:eastAsia="Times New Roman"/>
                <w:sz w:val="22"/>
                <w:szCs w:val="22"/>
                <w:lang w:val="lt-LT" w:eastAsia="de-DE"/>
              </w:rPr>
            </w:pPr>
            <w:r w:rsidRPr="00A54335">
              <w:rPr>
                <w:rFonts w:eastAsia="Times New Roman"/>
                <w:sz w:val="22"/>
                <w:szCs w:val="22"/>
                <w:lang w:val="lt-LT" w:eastAsia="de-DE"/>
              </w:rPr>
              <w:t>1 – 400 ml/h (≤ 1 ml/h žingsniu)</w:t>
            </w:r>
          </w:p>
        </w:tc>
        <w:tc>
          <w:tcPr>
            <w:tcW w:w="2551" w:type="dxa"/>
            <w:tcBorders>
              <w:top w:val="single" w:sz="4" w:space="0" w:color="auto"/>
              <w:left w:val="single" w:sz="4" w:space="0" w:color="auto"/>
              <w:bottom w:val="single" w:sz="4" w:space="0" w:color="auto"/>
              <w:right w:val="single" w:sz="4" w:space="0" w:color="auto"/>
            </w:tcBorders>
          </w:tcPr>
          <w:p w14:paraId="59CC1C77" w14:textId="77777777" w:rsidR="00DE5903" w:rsidRPr="00A54335" w:rsidRDefault="00DE5903" w:rsidP="00611DD0">
            <w:pPr>
              <w:spacing w:line="264" w:lineRule="auto"/>
              <w:jc w:val="both"/>
              <w:rPr>
                <w:rFonts w:eastAsia="Times New Roman"/>
                <w:sz w:val="22"/>
                <w:szCs w:val="22"/>
                <w:lang w:val="lt-LT" w:eastAsia="de-DE"/>
              </w:rPr>
            </w:pPr>
          </w:p>
        </w:tc>
      </w:tr>
      <w:tr w:rsidR="00DE5903" w:rsidRPr="00A54335" w14:paraId="10A52436"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hideMark/>
          </w:tcPr>
          <w:p w14:paraId="1D97FF9D" w14:textId="77777777" w:rsidR="00DE5903" w:rsidRPr="00A54335" w:rsidRDefault="00DE5903" w:rsidP="00611DD0">
            <w:pPr>
              <w:spacing w:line="264" w:lineRule="auto"/>
              <w:jc w:val="center"/>
              <w:rPr>
                <w:rFonts w:eastAsia="Times New Roman"/>
                <w:sz w:val="22"/>
                <w:szCs w:val="22"/>
                <w:lang w:val="lt-LT" w:eastAsia="de-DE"/>
              </w:rPr>
            </w:pPr>
            <w:r w:rsidRPr="00A54335">
              <w:rPr>
                <w:rFonts w:eastAsia="Times New Roman"/>
                <w:sz w:val="22"/>
                <w:szCs w:val="22"/>
                <w:lang w:val="lt-LT" w:eastAsia="de-DE"/>
              </w:rPr>
              <w:t>2.4</w:t>
            </w:r>
          </w:p>
        </w:tc>
        <w:tc>
          <w:tcPr>
            <w:tcW w:w="3258" w:type="dxa"/>
            <w:tcBorders>
              <w:top w:val="single" w:sz="4" w:space="0" w:color="auto"/>
              <w:left w:val="single" w:sz="4" w:space="0" w:color="auto"/>
              <w:bottom w:val="single" w:sz="4" w:space="0" w:color="auto"/>
              <w:right w:val="single" w:sz="4" w:space="0" w:color="auto"/>
            </w:tcBorders>
            <w:hideMark/>
          </w:tcPr>
          <w:p w14:paraId="6B35E261"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Smūginės dozės („</w:t>
            </w:r>
            <w:proofErr w:type="spellStart"/>
            <w:r w:rsidRPr="00A54335">
              <w:rPr>
                <w:rFonts w:eastAsia="Times New Roman"/>
                <w:sz w:val="22"/>
                <w:szCs w:val="22"/>
                <w:lang w:val="lt-LT" w:eastAsia="de-DE"/>
              </w:rPr>
              <w:t>bolius</w:t>
            </w:r>
            <w:proofErr w:type="spellEnd"/>
            <w:r w:rsidRPr="00A54335">
              <w:rPr>
                <w:rFonts w:eastAsia="Times New Roman"/>
                <w:sz w:val="22"/>
                <w:szCs w:val="22"/>
                <w:lang w:val="lt-LT" w:eastAsia="de-DE"/>
              </w:rPr>
              <w:t>“) tūris (reguliuojamas ne siauresnėse ribose už nurodytas)</w:t>
            </w:r>
          </w:p>
        </w:tc>
        <w:tc>
          <w:tcPr>
            <w:tcW w:w="3969" w:type="dxa"/>
            <w:tcBorders>
              <w:top w:val="single" w:sz="4" w:space="0" w:color="auto"/>
              <w:left w:val="single" w:sz="4" w:space="0" w:color="auto"/>
              <w:bottom w:val="single" w:sz="4" w:space="0" w:color="auto"/>
              <w:right w:val="single" w:sz="4" w:space="0" w:color="auto"/>
            </w:tcBorders>
            <w:hideMark/>
          </w:tcPr>
          <w:p w14:paraId="0D3A93DC" w14:textId="175B883E" w:rsidR="00DE5903" w:rsidRPr="00A54335" w:rsidRDefault="00DE5903" w:rsidP="00611DD0">
            <w:pPr>
              <w:jc w:val="both"/>
              <w:rPr>
                <w:rFonts w:eastAsia="Times New Roman"/>
                <w:sz w:val="22"/>
                <w:szCs w:val="22"/>
                <w:lang w:val="lt-LT" w:eastAsia="de-DE"/>
              </w:rPr>
            </w:pPr>
            <w:r w:rsidRPr="00A54335">
              <w:rPr>
                <w:rFonts w:eastAsia="Times New Roman"/>
                <w:sz w:val="22"/>
                <w:szCs w:val="22"/>
                <w:lang w:val="lt-LT" w:eastAsia="de-DE"/>
              </w:rPr>
              <w:t xml:space="preserve">1 – </w:t>
            </w:r>
            <w:r w:rsidR="00611E76">
              <w:rPr>
                <w:rFonts w:eastAsia="Times New Roman"/>
                <w:sz w:val="22"/>
                <w:szCs w:val="22"/>
                <w:lang w:val="lt-LT" w:eastAsia="de-DE"/>
              </w:rPr>
              <w:t>4</w:t>
            </w:r>
            <w:r w:rsidRPr="00A54335">
              <w:rPr>
                <w:rFonts w:eastAsia="Times New Roman"/>
                <w:sz w:val="22"/>
                <w:szCs w:val="22"/>
                <w:lang w:val="lt-LT" w:eastAsia="de-DE"/>
              </w:rPr>
              <w:t>00 ml  (≤ 1 ml žingsniu)</w:t>
            </w:r>
          </w:p>
        </w:tc>
        <w:tc>
          <w:tcPr>
            <w:tcW w:w="2551" w:type="dxa"/>
            <w:tcBorders>
              <w:top w:val="single" w:sz="4" w:space="0" w:color="auto"/>
              <w:left w:val="single" w:sz="4" w:space="0" w:color="auto"/>
              <w:bottom w:val="single" w:sz="4" w:space="0" w:color="auto"/>
              <w:right w:val="single" w:sz="4" w:space="0" w:color="auto"/>
            </w:tcBorders>
          </w:tcPr>
          <w:p w14:paraId="1B4712B3" w14:textId="77777777" w:rsidR="00DE5903" w:rsidRPr="00A54335" w:rsidRDefault="00DE5903" w:rsidP="00611DD0">
            <w:pPr>
              <w:spacing w:line="264" w:lineRule="auto"/>
              <w:jc w:val="both"/>
              <w:rPr>
                <w:rFonts w:eastAsia="Times New Roman"/>
                <w:sz w:val="22"/>
                <w:szCs w:val="22"/>
                <w:lang w:val="lt-LT" w:eastAsia="de-DE"/>
              </w:rPr>
            </w:pPr>
          </w:p>
        </w:tc>
      </w:tr>
      <w:tr w:rsidR="00DE5903" w:rsidRPr="00A54335" w14:paraId="5807B4D3"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33"/>
        </w:trPr>
        <w:tc>
          <w:tcPr>
            <w:tcW w:w="567" w:type="dxa"/>
            <w:tcBorders>
              <w:top w:val="single" w:sz="4" w:space="0" w:color="auto"/>
              <w:left w:val="single" w:sz="4" w:space="0" w:color="auto"/>
              <w:bottom w:val="single" w:sz="4" w:space="0" w:color="auto"/>
              <w:right w:val="single" w:sz="4" w:space="0" w:color="auto"/>
            </w:tcBorders>
          </w:tcPr>
          <w:p w14:paraId="2A6AF486"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64338867"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Infuzijos greičio paklaida</w:t>
            </w:r>
          </w:p>
        </w:tc>
        <w:tc>
          <w:tcPr>
            <w:tcW w:w="3969" w:type="dxa"/>
            <w:tcBorders>
              <w:top w:val="single" w:sz="4" w:space="0" w:color="auto"/>
              <w:left w:val="single" w:sz="4" w:space="0" w:color="auto"/>
              <w:bottom w:val="single" w:sz="4" w:space="0" w:color="auto"/>
              <w:right w:val="single" w:sz="4" w:space="0" w:color="auto"/>
            </w:tcBorders>
            <w:hideMark/>
          </w:tcPr>
          <w:p w14:paraId="2804BB73" w14:textId="77777777" w:rsidR="00DE5903" w:rsidRPr="00A54335" w:rsidRDefault="00DE5903" w:rsidP="00611DD0">
            <w:pPr>
              <w:jc w:val="both"/>
              <w:rPr>
                <w:rFonts w:eastAsia="Times New Roman"/>
                <w:sz w:val="22"/>
                <w:szCs w:val="22"/>
                <w:lang w:val="lt-LT" w:eastAsia="de-DE"/>
              </w:rPr>
            </w:pPr>
            <w:r w:rsidRPr="00A54335">
              <w:rPr>
                <w:rFonts w:eastAsia="Times New Roman"/>
                <w:sz w:val="22"/>
                <w:szCs w:val="22"/>
                <w:lang w:val="lt-LT" w:eastAsia="de-DE"/>
              </w:rPr>
              <w:t xml:space="preserve">≤ ± 10% </w:t>
            </w:r>
          </w:p>
        </w:tc>
        <w:tc>
          <w:tcPr>
            <w:tcW w:w="2551" w:type="dxa"/>
            <w:tcBorders>
              <w:top w:val="single" w:sz="4" w:space="0" w:color="auto"/>
              <w:left w:val="single" w:sz="4" w:space="0" w:color="auto"/>
              <w:bottom w:val="single" w:sz="4" w:space="0" w:color="auto"/>
              <w:right w:val="single" w:sz="4" w:space="0" w:color="auto"/>
            </w:tcBorders>
          </w:tcPr>
          <w:p w14:paraId="5897F10F" w14:textId="77777777" w:rsidR="00DE5903" w:rsidRPr="00A54335" w:rsidRDefault="00DE5903" w:rsidP="00611DD0">
            <w:pPr>
              <w:spacing w:line="264" w:lineRule="auto"/>
              <w:rPr>
                <w:rFonts w:eastAsia="Times New Roman"/>
                <w:sz w:val="22"/>
                <w:szCs w:val="22"/>
                <w:lang w:val="lt-LT" w:eastAsia="de-DE"/>
              </w:rPr>
            </w:pPr>
          </w:p>
        </w:tc>
      </w:tr>
      <w:tr w:rsidR="00DE5903" w:rsidRPr="00A54335" w14:paraId="4FC2B28F"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48"/>
        </w:trPr>
        <w:tc>
          <w:tcPr>
            <w:tcW w:w="567" w:type="dxa"/>
            <w:tcBorders>
              <w:top w:val="single" w:sz="4" w:space="0" w:color="auto"/>
              <w:left w:val="single" w:sz="4" w:space="0" w:color="auto"/>
              <w:bottom w:val="single" w:sz="4" w:space="0" w:color="auto"/>
              <w:right w:val="single" w:sz="4" w:space="0" w:color="auto"/>
            </w:tcBorders>
          </w:tcPr>
          <w:p w14:paraId="3AB0DD77"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2E2CFDC4"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Pompos darbo režimai</w:t>
            </w:r>
          </w:p>
        </w:tc>
        <w:tc>
          <w:tcPr>
            <w:tcW w:w="3969" w:type="dxa"/>
            <w:tcBorders>
              <w:top w:val="single" w:sz="4" w:space="0" w:color="auto"/>
              <w:left w:val="single" w:sz="4" w:space="0" w:color="auto"/>
              <w:bottom w:val="single" w:sz="4" w:space="0" w:color="auto"/>
              <w:right w:val="single" w:sz="4" w:space="0" w:color="auto"/>
            </w:tcBorders>
            <w:hideMark/>
          </w:tcPr>
          <w:p w14:paraId="0F101263" w14:textId="1953A976" w:rsidR="00DE5903" w:rsidRPr="00A54335" w:rsidRDefault="00611E76" w:rsidP="00DE5903">
            <w:pPr>
              <w:numPr>
                <w:ilvl w:val="0"/>
                <w:numId w:val="20"/>
              </w:numPr>
              <w:ind w:left="0" w:hanging="314"/>
              <w:contextualSpacing/>
              <w:jc w:val="both"/>
              <w:rPr>
                <w:rFonts w:eastAsia="Times New Roman"/>
                <w:sz w:val="22"/>
                <w:szCs w:val="22"/>
                <w:lang w:val="lt-LT"/>
              </w:rPr>
            </w:pPr>
            <w:r>
              <w:rPr>
                <w:rFonts w:eastAsia="Times New Roman"/>
                <w:sz w:val="22"/>
                <w:szCs w:val="22"/>
                <w:lang w:val="lt-LT"/>
              </w:rPr>
              <w:t xml:space="preserve">1. </w:t>
            </w:r>
            <w:r w:rsidR="00DE5903" w:rsidRPr="00A54335">
              <w:rPr>
                <w:rFonts w:eastAsia="Times New Roman"/>
                <w:sz w:val="22"/>
                <w:szCs w:val="22"/>
                <w:lang w:val="lt-LT"/>
              </w:rPr>
              <w:t>Pastovaus maitinimo režimas;</w:t>
            </w:r>
          </w:p>
          <w:p w14:paraId="769E0CB2" w14:textId="16D4B51C" w:rsidR="00DE5903" w:rsidRPr="00A54335" w:rsidRDefault="00611E76" w:rsidP="00DE5903">
            <w:pPr>
              <w:numPr>
                <w:ilvl w:val="0"/>
                <w:numId w:val="20"/>
              </w:numPr>
              <w:ind w:left="0" w:hanging="314"/>
              <w:contextualSpacing/>
              <w:jc w:val="both"/>
              <w:rPr>
                <w:rFonts w:eastAsia="Times New Roman"/>
                <w:sz w:val="22"/>
                <w:szCs w:val="22"/>
                <w:lang w:val="lt-LT"/>
              </w:rPr>
            </w:pPr>
            <w:r>
              <w:rPr>
                <w:rFonts w:eastAsia="Times New Roman"/>
                <w:sz w:val="22"/>
                <w:szCs w:val="22"/>
                <w:lang w:val="lt-LT"/>
              </w:rPr>
              <w:t xml:space="preserve">2. </w:t>
            </w:r>
            <w:r w:rsidR="00DE5903" w:rsidRPr="00A54335">
              <w:rPr>
                <w:rFonts w:eastAsia="Times New Roman"/>
                <w:sz w:val="22"/>
                <w:szCs w:val="22"/>
                <w:lang w:val="lt-LT"/>
              </w:rPr>
              <w:t>Kintamo maitinimo režimas (porcijomis pasirinktais laiko intervalais);</w:t>
            </w:r>
          </w:p>
          <w:p w14:paraId="2859F35D" w14:textId="7B06DADC" w:rsidR="00DE5903" w:rsidRPr="00A54335" w:rsidRDefault="00611E76" w:rsidP="00DE5903">
            <w:pPr>
              <w:numPr>
                <w:ilvl w:val="0"/>
                <w:numId w:val="20"/>
              </w:numPr>
              <w:ind w:left="0" w:hanging="314"/>
              <w:contextualSpacing/>
              <w:jc w:val="both"/>
              <w:rPr>
                <w:rFonts w:eastAsia="Times New Roman"/>
                <w:sz w:val="22"/>
                <w:szCs w:val="22"/>
                <w:lang w:val="lt-LT"/>
              </w:rPr>
            </w:pPr>
            <w:r>
              <w:rPr>
                <w:rFonts w:eastAsia="Times New Roman"/>
                <w:sz w:val="22"/>
                <w:szCs w:val="22"/>
                <w:lang w:val="lt-LT"/>
              </w:rPr>
              <w:t xml:space="preserve">3. </w:t>
            </w:r>
            <w:r w:rsidR="00DE5903" w:rsidRPr="00A54335">
              <w:rPr>
                <w:rFonts w:eastAsia="Times New Roman"/>
                <w:sz w:val="22"/>
                <w:szCs w:val="22"/>
                <w:lang w:val="lt-LT"/>
              </w:rPr>
              <w:t>Automatinio sistemos užpildymo režimas.</w:t>
            </w:r>
          </w:p>
        </w:tc>
        <w:tc>
          <w:tcPr>
            <w:tcW w:w="2551" w:type="dxa"/>
            <w:tcBorders>
              <w:top w:val="single" w:sz="4" w:space="0" w:color="auto"/>
              <w:left w:val="single" w:sz="4" w:space="0" w:color="auto"/>
              <w:bottom w:val="single" w:sz="4" w:space="0" w:color="auto"/>
              <w:right w:val="single" w:sz="4" w:space="0" w:color="auto"/>
            </w:tcBorders>
          </w:tcPr>
          <w:p w14:paraId="1DDA0370" w14:textId="77777777" w:rsidR="00DE5903" w:rsidRPr="00A54335" w:rsidRDefault="00DE5903" w:rsidP="00611DD0">
            <w:pPr>
              <w:spacing w:line="276" w:lineRule="auto"/>
              <w:ind w:left="314" w:hanging="314"/>
              <w:contextualSpacing/>
              <w:rPr>
                <w:rFonts w:eastAsia="Times New Roman"/>
                <w:sz w:val="22"/>
                <w:szCs w:val="22"/>
                <w:lang w:val="lt-LT"/>
              </w:rPr>
            </w:pPr>
          </w:p>
        </w:tc>
      </w:tr>
      <w:tr w:rsidR="00DE5903" w:rsidRPr="00A54335" w14:paraId="5F78BE8F"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827"/>
        </w:trPr>
        <w:tc>
          <w:tcPr>
            <w:tcW w:w="567" w:type="dxa"/>
            <w:tcBorders>
              <w:top w:val="single" w:sz="4" w:space="0" w:color="auto"/>
              <w:left w:val="single" w:sz="4" w:space="0" w:color="auto"/>
              <w:bottom w:val="single" w:sz="4" w:space="0" w:color="auto"/>
              <w:right w:val="single" w:sz="4" w:space="0" w:color="auto"/>
            </w:tcBorders>
          </w:tcPr>
          <w:p w14:paraId="7B48EDBD"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37D56B0A"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Displėjuje atvaizduojama informacija</w:t>
            </w:r>
          </w:p>
        </w:tc>
        <w:tc>
          <w:tcPr>
            <w:tcW w:w="3969" w:type="dxa"/>
            <w:tcBorders>
              <w:top w:val="single" w:sz="4" w:space="0" w:color="auto"/>
              <w:left w:val="single" w:sz="4" w:space="0" w:color="auto"/>
              <w:bottom w:val="single" w:sz="4" w:space="0" w:color="auto"/>
              <w:right w:val="single" w:sz="4" w:space="0" w:color="auto"/>
            </w:tcBorders>
            <w:hideMark/>
          </w:tcPr>
          <w:p w14:paraId="11783062" w14:textId="168BDD3E" w:rsidR="00DE5903" w:rsidRPr="00A54335" w:rsidRDefault="00DE5903" w:rsidP="00DE5903">
            <w:pPr>
              <w:numPr>
                <w:ilvl w:val="0"/>
                <w:numId w:val="21"/>
              </w:numPr>
              <w:ind w:left="0" w:hanging="314"/>
              <w:contextualSpacing/>
              <w:jc w:val="both"/>
              <w:rPr>
                <w:rFonts w:eastAsia="Times New Roman"/>
                <w:sz w:val="22"/>
                <w:szCs w:val="22"/>
                <w:lang w:val="lt-LT"/>
              </w:rPr>
            </w:pPr>
            <w:r>
              <w:rPr>
                <w:rFonts w:eastAsia="Times New Roman"/>
                <w:sz w:val="22"/>
                <w:szCs w:val="22"/>
                <w:lang w:val="lt-LT"/>
              </w:rPr>
              <w:t xml:space="preserve">1. </w:t>
            </w:r>
            <w:r w:rsidRPr="00A54335">
              <w:rPr>
                <w:rFonts w:eastAsia="Times New Roman"/>
                <w:sz w:val="22"/>
                <w:szCs w:val="22"/>
                <w:lang w:val="lt-LT"/>
              </w:rPr>
              <w:t>Infuzijos greitis;</w:t>
            </w:r>
          </w:p>
          <w:p w14:paraId="4AE4D999" w14:textId="24F15F9E" w:rsidR="00DE5903" w:rsidRPr="00A54335" w:rsidRDefault="00DE5903" w:rsidP="00DE5903">
            <w:pPr>
              <w:numPr>
                <w:ilvl w:val="0"/>
                <w:numId w:val="21"/>
              </w:numPr>
              <w:ind w:left="0" w:hanging="314"/>
              <w:contextualSpacing/>
              <w:jc w:val="both"/>
              <w:rPr>
                <w:rFonts w:eastAsia="Times New Roman"/>
                <w:sz w:val="22"/>
                <w:szCs w:val="22"/>
                <w:lang w:val="lt-LT"/>
              </w:rPr>
            </w:pPr>
            <w:r>
              <w:rPr>
                <w:rFonts w:eastAsia="Times New Roman"/>
                <w:sz w:val="22"/>
                <w:szCs w:val="22"/>
                <w:lang w:val="lt-LT"/>
              </w:rPr>
              <w:t xml:space="preserve">2. </w:t>
            </w:r>
            <w:r w:rsidRPr="00A54335">
              <w:rPr>
                <w:rFonts w:eastAsia="Times New Roman"/>
                <w:sz w:val="22"/>
                <w:szCs w:val="22"/>
                <w:lang w:val="lt-LT"/>
              </w:rPr>
              <w:t>Infuzijos trukmė;</w:t>
            </w:r>
          </w:p>
          <w:p w14:paraId="487C8CB0" w14:textId="1E2E5562" w:rsidR="00DE5903" w:rsidRPr="00A54335" w:rsidRDefault="00DE5903" w:rsidP="00DE5903">
            <w:pPr>
              <w:numPr>
                <w:ilvl w:val="0"/>
                <w:numId w:val="21"/>
              </w:numPr>
              <w:ind w:left="0" w:hanging="314"/>
              <w:contextualSpacing/>
              <w:jc w:val="both"/>
              <w:rPr>
                <w:rFonts w:eastAsia="Times New Roman"/>
                <w:sz w:val="22"/>
                <w:szCs w:val="22"/>
                <w:lang w:val="lt-LT"/>
              </w:rPr>
            </w:pPr>
            <w:r>
              <w:rPr>
                <w:rFonts w:eastAsia="Times New Roman"/>
                <w:sz w:val="22"/>
                <w:szCs w:val="22"/>
                <w:lang w:val="lt-LT"/>
              </w:rPr>
              <w:t xml:space="preserve">3. </w:t>
            </w:r>
            <w:r w:rsidRPr="00A54335">
              <w:rPr>
                <w:rFonts w:eastAsia="Times New Roman"/>
                <w:sz w:val="22"/>
                <w:szCs w:val="22"/>
                <w:lang w:val="lt-LT"/>
              </w:rPr>
              <w:t xml:space="preserve">Bendras tūris; </w:t>
            </w:r>
          </w:p>
          <w:p w14:paraId="6D2E0810" w14:textId="7292BD8D" w:rsidR="00DE5903" w:rsidRPr="00A54335" w:rsidRDefault="00DE5903" w:rsidP="00DE5903">
            <w:pPr>
              <w:numPr>
                <w:ilvl w:val="0"/>
                <w:numId w:val="21"/>
              </w:numPr>
              <w:ind w:left="0" w:hanging="314"/>
              <w:contextualSpacing/>
              <w:jc w:val="both"/>
              <w:rPr>
                <w:rFonts w:eastAsia="Times New Roman"/>
                <w:sz w:val="22"/>
                <w:szCs w:val="22"/>
                <w:lang w:val="lt-LT"/>
              </w:rPr>
            </w:pPr>
            <w:r>
              <w:rPr>
                <w:rFonts w:eastAsia="Times New Roman"/>
                <w:sz w:val="22"/>
                <w:szCs w:val="22"/>
                <w:lang w:val="lt-LT"/>
              </w:rPr>
              <w:t xml:space="preserve">4. </w:t>
            </w:r>
            <w:proofErr w:type="spellStart"/>
            <w:r w:rsidRPr="00A54335">
              <w:rPr>
                <w:rFonts w:eastAsia="Times New Roman"/>
                <w:sz w:val="22"/>
                <w:szCs w:val="22"/>
                <w:lang w:val="lt-LT"/>
              </w:rPr>
              <w:t>Boliuso</w:t>
            </w:r>
            <w:proofErr w:type="spellEnd"/>
            <w:r w:rsidRPr="00A54335">
              <w:rPr>
                <w:rFonts w:eastAsia="Times New Roman"/>
                <w:sz w:val="22"/>
                <w:szCs w:val="22"/>
                <w:lang w:val="lt-LT"/>
              </w:rPr>
              <w:t xml:space="preserve"> greitis;</w:t>
            </w:r>
          </w:p>
          <w:p w14:paraId="19F83CA2" w14:textId="742EE4FB" w:rsidR="00DE5903" w:rsidRPr="00A54335" w:rsidRDefault="00DE5903" w:rsidP="00DE5903">
            <w:pPr>
              <w:numPr>
                <w:ilvl w:val="0"/>
                <w:numId w:val="21"/>
              </w:numPr>
              <w:ind w:left="0" w:hanging="314"/>
              <w:contextualSpacing/>
              <w:jc w:val="both"/>
              <w:rPr>
                <w:rFonts w:eastAsia="Times New Roman"/>
                <w:sz w:val="22"/>
                <w:szCs w:val="22"/>
                <w:lang w:val="lt-LT"/>
              </w:rPr>
            </w:pPr>
            <w:r>
              <w:rPr>
                <w:rFonts w:eastAsia="Times New Roman"/>
                <w:sz w:val="22"/>
                <w:szCs w:val="22"/>
                <w:lang w:val="lt-LT"/>
              </w:rPr>
              <w:t xml:space="preserve">5. </w:t>
            </w:r>
            <w:proofErr w:type="spellStart"/>
            <w:r w:rsidRPr="00A54335">
              <w:rPr>
                <w:rFonts w:eastAsia="Times New Roman"/>
                <w:sz w:val="22"/>
                <w:szCs w:val="22"/>
                <w:lang w:val="lt-LT"/>
              </w:rPr>
              <w:t>Boliuso</w:t>
            </w:r>
            <w:proofErr w:type="spellEnd"/>
            <w:r w:rsidRPr="00A54335">
              <w:rPr>
                <w:rFonts w:eastAsia="Times New Roman"/>
                <w:sz w:val="22"/>
                <w:szCs w:val="22"/>
                <w:lang w:val="lt-LT"/>
              </w:rPr>
              <w:t xml:space="preserve"> tūris;</w:t>
            </w:r>
          </w:p>
          <w:p w14:paraId="633ADF34" w14:textId="74BF50FE" w:rsidR="00DE5903" w:rsidRPr="00A54335" w:rsidRDefault="00DE5903" w:rsidP="00DE5903">
            <w:pPr>
              <w:numPr>
                <w:ilvl w:val="0"/>
                <w:numId w:val="21"/>
              </w:numPr>
              <w:ind w:left="0" w:hanging="314"/>
              <w:contextualSpacing/>
              <w:jc w:val="both"/>
              <w:rPr>
                <w:rFonts w:eastAsia="Times New Roman"/>
                <w:sz w:val="22"/>
                <w:szCs w:val="22"/>
                <w:lang w:val="lt-LT"/>
              </w:rPr>
            </w:pPr>
            <w:r>
              <w:rPr>
                <w:rFonts w:eastAsia="Times New Roman"/>
                <w:sz w:val="22"/>
                <w:szCs w:val="22"/>
                <w:lang w:val="lt-LT"/>
              </w:rPr>
              <w:t xml:space="preserve">6. </w:t>
            </w:r>
            <w:r w:rsidRPr="00A54335">
              <w:rPr>
                <w:rFonts w:eastAsia="Times New Roman"/>
                <w:sz w:val="22"/>
                <w:szCs w:val="22"/>
                <w:lang w:val="lt-LT"/>
              </w:rPr>
              <w:t xml:space="preserve">Aliarminės situacijos; </w:t>
            </w:r>
          </w:p>
          <w:p w14:paraId="6491AB40" w14:textId="6AA8F538" w:rsidR="00DE5903" w:rsidRPr="00A54335" w:rsidRDefault="00DE5903" w:rsidP="00DE5903">
            <w:pPr>
              <w:numPr>
                <w:ilvl w:val="0"/>
                <w:numId w:val="21"/>
              </w:numPr>
              <w:ind w:left="0" w:hanging="314"/>
              <w:contextualSpacing/>
              <w:jc w:val="both"/>
              <w:rPr>
                <w:rFonts w:eastAsia="Times New Roman"/>
                <w:sz w:val="22"/>
                <w:szCs w:val="22"/>
                <w:lang w:val="lt-LT"/>
              </w:rPr>
            </w:pPr>
            <w:r>
              <w:rPr>
                <w:rFonts w:eastAsia="Times New Roman"/>
                <w:sz w:val="22"/>
                <w:szCs w:val="22"/>
                <w:lang w:val="lt-LT"/>
              </w:rPr>
              <w:t xml:space="preserve">7. </w:t>
            </w:r>
            <w:r w:rsidRPr="00A54335">
              <w:rPr>
                <w:rFonts w:eastAsia="Times New Roman"/>
                <w:sz w:val="22"/>
                <w:szCs w:val="22"/>
                <w:lang w:val="lt-LT"/>
              </w:rPr>
              <w:t>Aliarmo priežastys.</w:t>
            </w:r>
          </w:p>
        </w:tc>
        <w:tc>
          <w:tcPr>
            <w:tcW w:w="2551" w:type="dxa"/>
            <w:tcBorders>
              <w:top w:val="single" w:sz="4" w:space="0" w:color="auto"/>
              <w:left w:val="single" w:sz="4" w:space="0" w:color="auto"/>
              <w:bottom w:val="single" w:sz="4" w:space="0" w:color="auto"/>
              <w:right w:val="single" w:sz="4" w:space="0" w:color="auto"/>
            </w:tcBorders>
          </w:tcPr>
          <w:p w14:paraId="43639C87" w14:textId="77777777" w:rsidR="00DE5903" w:rsidRPr="00A54335" w:rsidRDefault="00DE5903" w:rsidP="00611DD0">
            <w:pPr>
              <w:spacing w:line="276" w:lineRule="auto"/>
              <w:ind w:left="27" w:hanging="27"/>
              <w:contextualSpacing/>
              <w:jc w:val="both"/>
              <w:rPr>
                <w:rFonts w:eastAsia="Times New Roman"/>
                <w:b/>
                <w:bCs/>
                <w:sz w:val="22"/>
                <w:szCs w:val="22"/>
                <w:lang w:val="lt-LT"/>
              </w:rPr>
            </w:pPr>
          </w:p>
        </w:tc>
      </w:tr>
      <w:tr w:rsidR="00DE5903" w:rsidRPr="00A54335" w14:paraId="7AF3D26C"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363353C9"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6A2205B5"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Vizualinis bei akustinis aliarmas su automatine stop funkcija</w:t>
            </w:r>
          </w:p>
        </w:tc>
        <w:tc>
          <w:tcPr>
            <w:tcW w:w="3969" w:type="dxa"/>
            <w:tcBorders>
              <w:top w:val="single" w:sz="4" w:space="0" w:color="auto"/>
              <w:left w:val="single" w:sz="4" w:space="0" w:color="auto"/>
              <w:bottom w:val="single" w:sz="4" w:space="0" w:color="auto"/>
              <w:right w:val="single" w:sz="4" w:space="0" w:color="auto"/>
            </w:tcBorders>
            <w:hideMark/>
          </w:tcPr>
          <w:p w14:paraId="3641D9BB" w14:textId="77777777" w:rsidR="00DE5903" w:rsidRPr="00A54335" w:rsidRDefault="00DE5903" w:rsidP="00611DD0">
            <w:pPr>
              <w:jc w:val="both"/>
              <w:rPr>
                <w:rFonts w:eastAsia="Times New Roman"/>
                <w:sz w:val="22"/>
                <w:szCs w:val="22"/>
                <w:lang w:val="lt-LT" w:eastAsia="de-DE"/>
              </w:rPr>
            </w:pPr>
            <w:r w:rsidRPr="00A54335">
              <w:rPr>
                <w:rFonts w:eastAsia="Times New Roman"/>
                <w:sz w:val="22"/>
                <w:szCs w:val="22"/>
                <w:lang w:val="lt-LT" w:eastAsia="de-DE"/>
              </w:rPr>
              <w:t>Būtina. Kontroliuojami parametrai:</w:t>
            </w:r>
          </w:p>
          <w:p w14:paraId="174AA0C5" w14:textId="09A1BC92" w:rsidR="00DE5903" w:rsidRPr="00A54335" w:rsidRDefault="00DE5903" w:rsidP="00DE5903">
            <w:pPr>
              <w:numPr>
                <w:ilvl w:val="0"/>
                <w:numId w:val="22"/>
              </w:numPr>
              <w:ind w:left="0" w:hanging="284"/>
              <w:contextualSpacing/>
              <w:rPr>
                <w:rFonts w:eastAsia="Times New Roman"/>
                <w:sz w:val="22"/>
                <w:szCs w:val="22"/>
                <w:lang w:val="lt-LT"/>
              </w:rPr>
            </w:pPr>
            <w:r>
              <w:rPr>
                <w:rFonts w:eastAsia="Times New Roman"/>
                <w:sz w:val="22"/>
                <w:szCs w:val="22"/>
                <w:lang w:val="lt-LT"/>
              </w:rPr>
              <w:t xml:space="preserve">1. </w:t>
            </w:r>
            <w:r w:rsidRPr="00A54335">
              <w:rPr>
                <w:rFonts w:eastAsia="Times New Roman"/>
                <w:sz w:val="22"/>
                <w:szCs w:val="22"/>
                <w:lang w:val="lt-LT"/>
              </w:rPr>
              <w:t>Spaudimas infuzinėje sistemoje (</w:t>
            </w:r>
            <w:proofErr w:type="spellStart"/>
            <w:r w:rsidRPr="00A54335">
              <w:rPr>
                <w:rFonts w:eastAsia="Times New Roman"/>
                <w:sz w:val="22"/>
                <w:szCs w:val="22"/>
                <w:lang w:val="lt-LT"/>
              </w:rPr>
              <w:t>okliuzija</w:t>
            </w:r>
            <w:proofErr w:type="spellEnd"/>
            <w:r w:rsidRPr="00A54335">
              <w:rPr>
                <w:rFonts w:eastAsia="Times New Roman"/>
                <w:sz w:val="22"/>
                <w:szCs w:val="22"/>
                <w:lang w:val="lt-LT"/>
              </w:rPr>
              <w:t xml:space="preserve">); </w:t>
            </w:r>
          </w:p>
          <w:p w14:paraId="25066422" w14:textId="6992FF30" w:rsidR="00DE5903" w:rsidRPr="00A54335" w:rsidRDefault="00DE5903" w:rsidP="00DE5903">
            <w:pPr>
              <w:numPr>
                <w:ilvl w:val="0"/>
                <w:numId w:val="22"/>
              </w:numPr>
              <w:ind w:left="0" w:hanging="284"/>
              <w:contextualSpacing/>
              <w:jc w:val="both"/>
              <w:rPr>
                <w:rFonts w:eastAsia="Times New Roman"/>
                <w:sz w:val="22"/>
                <w:szCs w:val="22"/>
                <w:lang w:val="lt-LT"/>
              </w:rPr>
            </w:pPr>
            <w:r>
              <w:rPr>
                <w:rFonts w:eastAsia="Times New Roman"/>
                <w:sz w:val="22"/>
                <w:szCs w:val="22"/>
                <w:lang w:val="lt-LT"/>
              </w:rPr>
              <w:t xml:space="preserve">2. </w:t>
            </w:r>
            <w:r w:rsidRPr="00A54335">
              <w:rPr>
                <w:rFonts w:eastAsia="Times New Roman"/>
                <w:sz w:val="22"/>
                <w:szCs w:val="22"/>
                <w:lang w:val="lt-LT"/>
              </w:rPr>
              <w:t xml:space="preserve">Oras infuzinėje sistemoje; </w:t>
            </w:r>
          </w:p>
          <w:p w14:paraId="013C3988" w14:textId="4F7741F0" w:rsidR="00DE5903" w:rsidRPr="00A54335" w:rsidRDefault="00DE5903" w:rsidP="00DE5903">
            <w:pPr>
              <w:numPr>
                <w:ilvl w:val="0"/>
                <w:numId w:val="22"/>
              </w:numPr>
              <w:ind w:left="0" w:hanging="284"/>
              <w:contextualSpacing/>
              <w:jc w:val="both"/>
              <w:rPr>
                <w:rFonts w:eastAsia="Times New Roman"/>
                <w:sz w:val="22"/>
                <w:szCs w:val="22"/>
                <w:lang w:val="lt-LT"/>
              </w:rPr>
            </w:pPr>
            <w:r>
              <w:rPr>
                <w:rFonts w:eastAsia="Times New Roman"/>
                <w:sz w:val="22"/>
                <w:szCs w:val="22"/>
                <w:lang w:val="lt-LT"/>
              </w:rPr>
              <w:t xml:space="preserve">3. </w:t>
            </w:r>
            <w:r w:rsidRPr="00A54335">
              <w:rPr>
                <w:rFonts w:eastAsia="Times New Roman"/>
                <w:sz w:val="22"/>
                <w:szCs w:val="22"/>
                <w:lang w:val="lt-LT"/>
              </w:rPr>
              <w:t xml:space="preserve">Infuzijos tūris suleistas; </w:t>
            </w:r>
          </w:p>
          <w:p w14:paraId="7E77CD53" w14:textId="79E67BE4" w:rsidR="00DE5903" w:rsidRPr="00A54335" w:rsidRDefault="00DE5903" w:rsidP="00DE5903">
            <w:pPr>
              <w:numPr>
                <w:ilvl w:val="0"/>
                <w:numId w:val="22"/>
              </w:numPr>
              <w:ind w:left="0" w:hanging="284"/>
              <w:contextualSpacing/>
              <w:jc w:val="both"/>
              <w:rPr>
                <w:rFonts w:eastAsia="Times New Roman"/>
                <w:sz w:val="22"/>
                <w:szCs w:val="22"/>
                <w:lang w:val="lt-LT"/>
              </w:rPr>
            </w:pPr>
            <w:r>
              <w:rPr>
                <w:rFonts w:eastAsia="Times New Roman"/>
                <w:sz w:val="22"/>
                <w:szCs w:val="22"/>
                <w:lang w:val="lt-LT"/>
              </w:rPr>
              <w:t xml:space="preserve">4. </w:t>
            </w:r>
            <w:r w:rsidRPr="00A54335">
              <w:rPr>
                <w:rFonts w:eastAsia="Times New Roman"/>
                <w:sz w:val="22"/>
                <w:szCs w:val="22"/>
                <w:lang w:val="lt-LT"/>
              </w:rPr>
              <w:t xml:space="preserve">Baterija išsikrovė; </w:t>
            </w:r>
          </w:p>
          <w:p w14:paraId="550CEED3" w14:textId="0E5BBA8F" w:rsidR="00DE5903" w:rsidRPr="00A54335" w:rsidRDefault="00DE5903" w:rsidP="00DE5903">
            <w:pPr>
              <w:numPr>
                <w:ilvl w:val="0"/>
                <w:numId w:val="22"/>
              </w:numPr>
              <w:ind w:left="0" w:hanging="284"/>
              <w:contextualSpacing/>
              <w:jc w:val="both"/>
              <w:rPr>
                <w:rFonts w:eastAsia="Times New Roman"/>
                <w:sz w:val="22"/>
                <w:szCs w:val="22"/>
                <w:lang w:val="lt-LT"/>
              </w:rPr>
            </w:pPr>
            <w:r>
              <w:rPr>
                <w:rFonts w:eastAsia="Times New Roman"/>
                <w:sz w:val="22"/>
                <w:szCs w:val="22"/>
                <w:lang w:val="lt-LT"/>
              </w:rPr>
              <w:t xml:space="preserve">5. </w:t>
            </w:r>
            <w:r w:rsidRPr="00A54335">
              <w:rPr>
                <w:rFonts w:eastAsia="Times New Roman"/>
                <w:sz w:val="22"/>
                <w:szCs w:val="22"/>
                <w:lang w:val="lt-LT"/>
              </w:rPr>
              <w:t>Techninis signalas.</w:t>
            </w:r>
          </w:p>
        </w:tc>
        <w:tc>
          <w:tcPr>
            <w:tcW w:w="2551" w:type="dxa"/>
            <w:tcBorders>
              <w:top w:val="single" w:sz="4" w:space="0" w:color="auto"/>
              <w:left w:val="single" w:sz="4" w:space="0" w:color="auto"/>
              <w:bottom w:val="single" w:sz="4" w:space="0" w:color="auto"/>
              <w:right w:val="single" w:sz="4" w:space="0" w:color="auto"/>
            </w:tcBorders>
          </w:tcPr>
          <w:p w14:paraId="6C32FBD4" w14:textId="77777777" w:rsidR="00DE5903" w:rsidRPr="00A54335" w:rsidRDefault="00DE5903" w:rsidP="00611DD0">
            <w:pPr>
              <w:spacing w:line="264" w:lineRule="auto"/>
              <w:ind w:left="27" w:hanging="27"/>
              <w:contextualSpacing/>
              <w:jc w:val="both"/>
              <w:rPr>
                <w:rFonts w:eastAsia="Times New Roman"/>
                <w:sz w:val="22"/>
                <w:szCs w:val="22"/>
                <w:lang w:val="lt-LT"/>
              </w:rPr>
            </w:pPr>
          </w:p>
        </w:tc>
      </w:tr>
      <w:tr w:rsidR="00DE5903" w:rsidRPr="00A54335" w14:paraId="53C2E1F0"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2"/>
        </w:trPr>
        <w:tc>
          <w:tcPr>
            <w:tcW w:w="567" w:type="dxa"/>
            <w:tcBorders>
              <w:top w:val="single" w:sz="4" w:space="0" w:color="auto"/>
              <w:left w:val="single" w:sz="4" w:space="0" w:color="auto"/>
              <w:bottom w:val="single" w:sz="4" w:space="0" w:color="auto"/>
              <w:right w:val="single" w:sz="4" w:space="0" w:color="auto"/>
            </w:tcBorders>
          </w:tcPr>
          <w:p w14:paraId="1CFF5BCC"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0B715A48"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Paskutinės programos ir duomenų išsaugojimas</w:t>
            </w:r>
          </w:p>
        </w:tc>
        <w:tc>
          <w:tcPr>
            <w:tcW w:w="3969" w:type="dxa"/>
            <w:tcBorders>
              <w:top w:val="single" w:sz="4" w:space="0" w:color="auto"/>
              <w:left w:val="single" w:sz="4" w:space="0" w:color="auto"/>
              <w:bottom w:val="single" w:sz="4" w:space="0" w:color="auto"/>
              <w:right w:val="single" w:sz="4" w:space="0" w:color="auto"/>
            </w:tcBorders>
            <w:hideMark/>
          </w:tcPr>
          <w:p w14:paraId="16A14657" w14:textId="77777777" w:rsidR="00DE5903" w:rsidRPr="00A54335" w:rsidRDefault="00DE5903" w:rsidP="00611DD0">
            <w:pPr>
              <w:jc w:val="both"/>
              <w:rPr>
                <w:rFonts w:eastAsia="Times New Roman"/>
                <w:sz w:val="22"/>
                <w:szCs w:val="22"/>
                <w:lang w:val="lt-LT" w:eastAsia="de-DE"/>
              </w:rPr>
            </w:pPr>
            <w:r w:rsidRPr="00A54335">
              <w:rPr>
                <w:rFonts w:eastAsia="Times New Roman"/>
                <w:sz w:val="22"/>
                <w:szCs w:val="22"/>
                <w:lang w:val="lt-LT" w:eastAsia="de-DE"/>
              </w:rPr>
              <w:t>Būtina</w:t>
            </w:r>
          </w:p>
        </w:tc>
        <w:tc>
          <w:tcPr>
            <w:tcW w:w="2551" w:type="dxa"/>
            <w:tcBorders>
              <w:top w:val="single" w:sz="4" w:space="0" w:color="auto"/>
              <w:left w:val="single" w:sz="4" w:space="0" w:color="auto"/>
              <w:bottom w:val="single" w:sz="4" w:space="0" w:color="auto"/>
              <w:right w:val="single" w:sz="4" w:space="0" w:color="auto"/>
            </w:tcBorders>
          </w:tcPr>
          <w:p w14:paraId="44142456" w14:textId="77777777" w:rsidR="00DE5903" w:rsidRPr="00A54335" w:rsidRDefault="00DE5903" w:rsidP="00611DD0">
            <w:pPr>
              <w:spacing w:line="264" w:lineRule="auto"/>
              <w:jc w:val="both"/>
              <w:rPr>
                <w:rFonts w:eastAsia="Times New Roman"/>
                <w:sz w:val="22"/>
                <w:szCs w:val="22"/>
                <w:lang w:val="lt-LT" w:eastAsia="de-DE"/>
              </w:rPr>
            </w:pPr>
          </w:p>
        </w:tc>
      </w:tr>
      <w:tr w:rsidR="00DE5903" w:rsidRPr="00A54335" w14:paraId="33790675"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7662A733"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41B548C3"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Pompos naudojami elektros maitinimo šaltiniai</w:t>
            </w:r>
          </w:p>
        </w:tc>
        <w:tc>
          <w:tcPr>
            <w:tcW w:w="3969" w:type="dxa"/>
            <w:tcBorders>
              <w:top w:val="single" w:sz="4" w:space="0" w:color="auto"/>
              <w:left w:val="single" w:sz="4" w:space="0" w:color="auto"/>
              <w:bottom w:val="single" w:sz="4" w:space="0" w:color="auto"/>
              <w:right w:val="single" w:sz="4" w:space="0" w:color="auto"/>
            </w:tcBorders>
            <w:hideMark/>
          </w:tcPr>
          <w:p w14:paraId="62B536C8" w14:textId="4392389A" w:rsidR="00DE5903" w:rsidRPr="00A54335" w:rsidRDefault="00DE5903" w:rsidP="00611DD0">
            <w:pPr>
              <w:jc w:val="both"/>
              <w:rPr>
                <w:rFonts w:eastAsia="Times New Roman"/>
                <w:sz w:val="22"/>
                <w:szCs w:val="22"/>
                <w:lang w:val="lt-LT" w:eastAsia="de-DE"/>
              </w:rPr>
            </w:pPr>
            <w:r w:rsidRPr="00A54335">
              <w:rPr>
                <w:rFonts w:eastAsia="Times New Roman"/>
                <w:sz w:val="22"/>
                <w:szCs w:val="22"/>
                <w:lang w:val="lt-LT" w:eastAsia="de-DE"/>
              </w:rPr>
              <w:t xml:space="preserve">1. </w:t>
            </w:r>
            <w:proofErr w:type="spellStart"/>
            <w:r w:rsidR="005D4C3C" w:rsidRPr="005D4C3C">
              <w:rPr>
                <w:rFonts w:eastAsia="Times New Roman"/>
                <w:sz w:val="22"/>
                <w:szCs w:val="22"/>
                <w:lang w:eastAsia="de-DE"/>
              </w:rPr>
              <w:t>Nominalios</w:t>
            </w:r>
            <w:proofErr w:type="spellEnd"/>
            <w:r w:rsidR="005D4C3C" w:rsidRPr="005D4C3C">
              <w:rPr>
                <w:rFonts w:eastAsia="Times New Roman"/>
                <w:sz w:val="22"/>
                <w:szCs w:val="22"/>
                <w:lang w:eastAsia="de-DE"/>
              </w:rPr>
              <w:t xml:space="preserve"> </w:t>
            </w:r>
            <w:proofErr w:type="spellStart"/>
            <w:r w:rsidR="005D4C3C" w:rsidRPr="005D4C3C">
              <w:rPr>
                <w:rFonts w:eastAsia="Times New Roman"/>
                <w:sz w:val="22"/>
                <w:szCs w:val="22"/>
                <w:lang w:eastAsia="de-DE"/>
              </w:rPr>
              <w:t>vertės</w:t>
            </w:r>
            <w:proofErr w:type="spellEnd"/>
            <w:r w:rsidR="005D4C3C" w:rsidRPr="005D4C3C">
              <w:rPr>
                <w:rFonts w:eastAsia="Times New Roman"/>
                <w:sz w:val="22"/>
                <w:szCs w:val="22"/>
                <w:lang w:eastAsia="de-DE"/>
              </w:rPr>
              <w:t xml:space="preserve"> 220V ±10% 50 Hz. El. </w:t>
            </w:r>
            <w:proofErr w:type="spellStart"/>
            <w:r w:rsidR="005D4C3C" w:rsidRPr="005D4C3C">
              <w:rPr>
                <w:rFonts w:eastAsia="Times New Roman"/>
                <w:sz w:val="22"/>
                <w:szCs w:val="22"/>
                <w:lang w:eastAsia="de-DE"/>
              </w:rPr>
              <w:t>tinklas</w:t>
            </w:r>
            <w:proofErr w:type="spellEnd"/>
          </w:p>
          <w:p w14:paraId="5D037D9B" w14:textId="77777777" w:rsidR="00DE5903" w:rsidRPr="00A54335" w:rsidRDefault="00DE5903" w:rsidP="00611DD0">
            <w:pPr>
              <w:jc w:val="both"/>
              <w:rPr>
                <w:rFonts w:eastAsia="Times New Roman"/>
                <w:sz w:val="22"/>
                <w:szCs w:val="22"/>
                <w:lang w:val="lt-LT" w:eastAsia="de-DE"/>
              </w:rPr>
            </w:pPr>
            <w:r w:rsidRPr="00A54335">
              <w:rPr>
                <w:rFonts w:eastAsia="Times New Roman"/>
                <w:sz w:val="22"/>
                <w:szCs w:val="22"/>
                <w:lang w:val="lt-LT" w:eastAsia="de-DE"/>
              </w:rPr>
              <w:t>2. Vidinis akumuliatorius.</w:t>
            </w:r>
          </w:p>
        </w:tc>
        <w:tc>
          <w:tcPr>
            <w:tcW w:w="2551" w:type="dxa"/>
            <w:tcBorders>
              <w:top w:val="single" w:sz="4" w:space="0" w:color="auto"/>
              <w:left w:val="single" w:sz="4" w:space="0" w:color="auto"/>
              <w:bottom w:val="single" w:sz="4" w:space="0" w:color="auto"/>
              <w:right w:val="single" w:sz="4" w:space="0" w:color="auto"/>
            </w:tcBorders>
          </w:tcPr>
          <w:p w14:paraId="69F6932D" w14:textId="77777777" w:rsidR="00DE5903" w:rsidRPr="00A54335" w:rsidRDefault="00DE5903" w:rsidP="00611DD0">
            <w:pPr>
              <w:spacing w:line="240" w:lineRule="exact"/>
              <w:rPr>
                <w:rFonts w:eastAsia="Times New Roman"/>
                <w:sz w:val="22"/>
                <w:szCs w:val="22"/>
                <w:lang w:val="lt-LT" w:eastAsia="de-DE"/>
              </w:rPr>
            </w:pPr>
          </w:p>
        </w:tc>
      </w:tr>
      <w:tr w:rsidR="00DE5903" w:rsidRPr="00A54335" w14:paraId="7126CE5D"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44F97991"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31B978F5"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Pompos darbo laikas, maitinant iš pilnai įkrauto akumuliatoriaus</w:t>
            </w:r>
          </w:p>
        </w:tc>
        <w:tc>
          <w:tcPr>
            <w:tcW w:w="3969" w:type="dxa"/>
            <w:tcBorders>
              <w:top w:val="single" w:sz="4" w:space="0" w:color="auto"/>
              <w:left w:val="single" w:sz="4" w:space="0" w:color="auto"/>
              <w:bottom w:val="single" w:sz="4" w:space="0" w:color="auto"/>
              <w:right w:val="single" w:sz="4" w:space="0" w:color="auto"/>
            </w:tcBorders>
            <w:hideMark/>
          </w:tcPr>
          <w:p w14:paraId="33621B35" w14:textId="77777777" w:rsidR="00DE5903" w:rsidRPr="00A54335" w:rsidRDefault="00DE5903" w:rsidP="00611DD0">
            <w:pPr>
              <w:jc w:val="both"/>
              <w:rPr>
                <w:rFonts w:eastAsia="Times New Roman"/>
                <w:sz w:val="22"/>
                <w:szCs w:val="22"/>
                <w:lang w:val="lt-LT" w:eastAsia="de-DE"/>
              </w:rPr>
            </w:pPr>
            <w:r w:rsidRPr="00A54335">
              <w:rPr>
                <w:rFonts w:eastAsia="Times New Roman"/>
                <w:sz w:val="22"/>
                <w:szCs w:val="22"/>
                <w:lang w:val="lt-LT" w:eastAsia="de-DE"/>
              </w:rPr>
              <w:t>≥ 10 h</w:t>
            </w:r>
          </w:p>
        </w:tc>
        <w:tc>
          <w:tcPr>
            <w:tcW w:w="2551" w:type="dxa"/>
            <w:tcBorders>
              <w:top w:val="single" w:sz="4" w:space="0" w:color="auto"/>
              <w:left w:val="single" w:sz="4" w:space="0" w:color="auto"/>
              <w:bottom w:val="single" w:sz="4" w:space="0" w:color="auto"/>
              <w:right w:val="single" w:sz="4" w:space="0" w:color="auto"/>
            </w:tcBorders>
          </w:tcPr>
          <w:p w14:paraId="55BA8FAD" w14:textId="77777777" w:rsidR="00DE5903" w:rsidRPr="00A54335" w:rsidRDefault="00DE5903" w:rsidP="00611DD0">
            <w:pPr>
              <w:spacing w:line="264" w:lineRule="auto"/>
              <w:ind w:left="31" w:right="-133"/>
              <w:rPr>
                <w:rFonts w:eastAsia="Times New Roman"/>
                <w:sz w:val="22"/>
                <w:szCs w:val="22"/>
                <w:lang w:val="lt-LT" w:eastAsia="de-DE"/>
              </w:rPr>
            </w:pPr>
          </w:p>
        </w:tc>
      </w:tr>
      <w:tr w:rsidR="00DE5903" w:rsidRPr="00A54335" w14:paraId="7752496A"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67" w:type="dxa"/>
            <w:tcBorders>
              <w:top w:val="single" w:sz="4" w:space="0" w:color="auto"/>
              <w:left w:val="single" w:sz="4" w:space="0" w:color="auto"/>
              <w:bottom w:val="single" w:sz="4" w:space="0" w:color="auto"/>
              <w:right w:val="single" w:sz="4" w:space="0" w:color="auto"/>
            </w:tcBorders>
          </w:tcPr>
          <w:p w14:paraId="78C7C2EA"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228D7209"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Kartu su pompa pateikiamas standartinis tvirtinimas prie infuzijos stovo</w:t>
            </w:r>
          </w:p>
        </w:tc>
        <w:tc>
          <w:tcPr>
            <w:tcW w:w="3969" w:type="dxa"/>
            <w:tcBorders>
              <w:top w:val="single" w:sz="4" w:space="0" w:color="auto"/>
              <w:left w:val="single" w:sz="4" w:space="0" w:color="auto"/>
              <w:bottom w:val="single" w:sz="4" w:space="0" w:color="auto"/>
              <w:right w:val="single" w:sz="4" w:space="0" w:color="auto"/>
            </w:tcBorders>
            <w:hideMark/>
          </w:tcPr>
          <w:p w14:paraId="275C93D2" w14:textId="77777777" w:rsidR="00DE5903" w:rsidRPr="00A54335" w:rsidRDefault="00DE5903" w:rsidP="00611DD0">
            <w:pPr>
              <w:ind w:firstLine="112"/>
              <w:jc w:val="both"/>
              <w:rPr>
                <w:rFonts w:eastAsia="Times New Roman"/>
                <w:sz w:val="22"/>
                <w:szCs w:val="22"/>
                <w:lang w:val="lt-LT" w:eastAsia="de-DE"/>
              </w:rPr>
            </w:pPr>
            <w:r w:rsidRPr="00A54335">
              <w:rPr>
                <w:rFonts w:eastAsia="Times New Roman"/>
                <w:noProof/>
                <w:sz w:val="22"/>
                <w:szCs w:val="22"/>
                <w:lang w:val="lt-LT" w:eastAsia="de-DE"/>
              </w:rPr>
              <w:t>Būtina</w:t>
            </w:r>
          </w:p>
        </w:tc>
        <w:tc>
          <w:tcPr>
            <w:tcW w:w="2551" w:type="dxa"/>
            <w:tcBorders>
              <w:top w:val="single" w:sz="4" w:space="0" w:color="auto"/>
              <w:left w:val="single" w:sz="4" w:space="0" w:color="auto"/>
              <w:bottom w:val="single" w:sz="4" w:space="0" w:color="auto"/>
              <w:right w:val="single" w:sz="4" w:space="0" w:color="auto"/>
            </w:tcBorders>
          </w:tcPr>
          <w:p w14:paraId="259F9CE2" w14:textId="77777777" w:rsidR="00DE5903" w:rsidRPr="00A54335" w:rsidRDefault="00DE5903" w:rsidP="00611DD0">
            <w:pPr>
              <w:spacing w:line="264" w:lineRule="auto"/>
              <w:ind w:right="-133"/>
              <w:rPr>
                <w:rFonts w:eastAsia="Times New Roman"/>
                <w:noProof/>
                <w:sz w:val="22"/>
                <w:szCs w:val="22"/>
                <w:lang w:val="lt-LT" w:eastAsia="de-DE"/>
              </w:rPr>
            </w:pPr>
          </w:p>
        </w:tc>
      </w:tr>
      <w:tr w:rsidR="00DE5903" w:rsidRPr="00A54335" w14:paraId="565CA065"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13"/>
        </w:trPr>
        <w:tc>
          <w:tcPr>
            <w:tcW w:w="567" w:type="dxa"/>
            <w:tcBorders>
              <w:top w:val="single" w:sz="4" w:space="0" w:color="auto"/>
              <w:left w:val="single" w:sz="4" w:space="0" w:color="auto"/>
              <w:bottom w:val="single" w:sz="4" w:space="0" w:color="auto"/>
              <w:right w:val="single" w:sz="4" w:space="0" w:color="auto"/>
            </w:tcBorders>
          </w:tcPr>
          <w:p w14:paraId="2AD75401"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21BE84CE"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Klasifikacija</w:t>
            </w:r>
          </w:p>
        </w:tc>
        <w:tc>
          <w:tcPr>
            <w:tcW w:w="3969" w:type="dxa"/>
            <w:tcBorders>
              <w:top w:val="single" w:sz="4" w:space="0" w:color="auto"/>
              <w:left w:val="single" w:sz="4" w:space="0" w:color="auto"/>
              <w:bottom w:val="single" w:sz="4" w:space="0" w:color="auto"/>
              <w:right w:val="single" w:sz="4" w:space="0" w:color="auto"/>
            </w:tcBorders>
            <w:hideMark/>
          </w:tcPr>
          <w:p w14:paraId="24F98F88" w14:textId="77777777" w:rsidR="00DE5903" w:rsidRPr="00A54335" w:rsidRDefault="00DE5903" w:rsidP="00DE5903">
            <w:pPr>
              <w:numPr>
                <w:ilvl w:val="0"/>
                <w:numId w:val="23"/>
              </w:numPr>
              <w:ind w:left="0" w:hanging="290"/>
              <w:contextualSpacing/>
              <w:jc w:val="both"/>
              <w:rPr>
                <w:rFonts w:eastAsia="Times New Roman"/>
                <w:sz w:val="22"/>
                <w:szCs w:val="22"/>
                <w:lang w:val="lt-LT"/>
              </w:rPr>
            </w:pPr>
            <w:r w:rsidRPr="00A54335">
              <w:rPr>
                <w:rFonts w:eastAsia="Times New Roman"/>
                <w:sz w:val="22"/>
                <w:szCs w:val="22"/>
                <w:lang w:val="lt-LT"/>
              </w:rPr>
              <w:t>Atspari defibriliacijai;</w:t>
            </w:r>
          </w:p>
          <w:p w14:paraId="15040CD5" w14:textId="77777777" w:rsidR="00DE5903" w:rsidRPr="00A54335" w:rsidRDefault="00DE5903" w:rsidP="00DE5903">
            <w:pPr>
              <w:numPr>
                <w:ilvl w:val="0"/>
                <w:numId w:val="23"/>
              </w:numPr>
              <w:ind w:left="0" w:hanging="290"/>
              <w:contextualSpacing/>
              <w:jc w:val="both"/>
              <w:rPr>
                <w:rFonts w:eastAsia="Times New Roman"/>
                <w:sz w:val="22"/>
                <w:szCs w:val="22"/>
                <w:lang w:val="lt-LT"/>
              </w:rPr>
            </w:pPr>
            <w:r w:rsidRPr="00A54335">
              <w:rPr>
                <w:rFonts w:eastAsia="Times New Roman"/>
                <w:sz w:val="22"/>
                <w:szCs w:val="22"/>
                <w:lang w:val="lt-LT"/>
              </w:rPr>
              <w:t>II apsaugos klasė pagal IEC 60 601-1 arba lygiavertė;</w:t>
            </w:r>
          </w:p>
          <w:p w14:paraId="576CF23D" w14:textId="77777777" w:rsidR="00DE5903" w:rsidRPr="00A54335" w:rsidRDefault="00DE5903" w:rsidP="00DE5903">
            <w:pPr>
              <w:numPr>
                <w:ilvl w:val="0"/>
                <w:numId w:val="23"/>
              </w:numPr>
              <w:ind w:left="0" w:hanging="290"/>
              <w:contextualSpacing/>
              <w:jc w:val="both"/>
              <w:rPr>
                <w:rFonts w:eastAsia="Times New Roman"/>
                <w:sz w:val="22"/>
                <w:szCs w:val="22"/>
                <w:lang w:val="lt-LT"/>
              </w:rPr>
            </w:pPr>
            <w:r w:rsidRPr="00A54335">
              <w:rPr>
                <w:rFonts w:eastAsia="Times New Roman"/>
                <w:sz w:val="22"/>
                <w:szCs w:val="22"/>
                <w:lang w:val="lt-LT"/>
              </w:rPr>
              <w:t>Apsauga nuo skysčių patekimo į pompos vidų IP 35.</w:t>
            </w:r>
          </w:p>
        </w:tc>
        <w:tc>
          <w:tcPr>
            <w:tcW w:w="2551" w:type="dxa"/>
            <w:tcBorders>
              <w:top w:val="single" w:sz="4" w:space="0" w:color="auto"/>
              <w:left w:val="single" w:sz="4" w:space="0" w:color="auto"/>
              <w:bottom w:val="single" w:sz="4" w:space="0" w:color="auto"/>
              <w:right w:val="single" w:sz="4" w:space="0" w:color="auto"/>
            </w:tcBorders>
          </w:tcPr>
          <w:p w14:paraId="0995E41B" w14:textId="77777777" w:rsidR="00DE5903" w:rsidRPr="00A54335" w:rsidRDefault="00DE5903" w:rsidP="00611DD0">
            <w:pPr>
              <w:spacing w:line="264" w:lineRule="auto"/>
              <w:ind w:left="27"/>
              <w:contextualSpacing/>
              <w:jc w:val="both"/>
              <w:rPr>
                <w:rFonts w:eastAsia="Times New Roman"/>
                <w:sz w:val="22"/>
                <w:szCs w:val="22"/>
                <w:lang w:val="lt-LT"/>
              </w:rPr>
            </w:pPr>
          </w:p>
        </w:tc>
      </w:tr>
      <w:tr w:rsidR="00DE5903" w:rsidRPr="00A54335" w14:paraId="2E411413" w14:textId="77777777" w:rsidTr="00611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10"/>
        </w:trPr>
        <w:tc>
          <w:tcPr>
            <w:tcW w:w="567" w:type="dxa"/>
            <w:tcBorders>
              <w:top w:val="single" w:sz="4" w:space="0" w:color="auto"/>
              <w:left w:val="single" w:sz="4" w:space="0" w:color="auto"/>
              <w:bottom w:val="single" w:sz="4" w:space="0" w:color="auto"/>
              <w:right w:val="single" w:sz="4" w:space="0" w:color="auto"/>
            </w:tcBorders>
          </w:tcPr>
          <w:p w14:paraId="26AAD526" w14:textId="77777777" w:rsidR="00DE5903" w:rsidRPr="00A54335" w:rsidRDefault="00DE5903" w:rsidP="00DE5903">
            <w:pPr>
              <w:numPr>
                <w:ilvl w:val="0"/>
                <w:numId w:val="24"/>
              </w:numPr>
              <w:spacing w:line="264" w:lineRule="auto"/>
              <w:contextualSpacing/>
              <w:jc w:val="center"/>
              <w:rPr>
                <w:rFonts w:eastAsia="Times New Roman"/>
                <w:sz w:val="22"/>
                <w:szCs w:val="22"/>
                <w:lang w:val="lt-LT"/>
              </w:rPr>
            </w:pPr>
          </w:p>
        </w:tc>
        <w:tc>
          <w:tcPr>
            <w:tcW w:w="3258" w:type="dxa"/>
            <w:tcBorders>
              <w:top w:val="single" w:sz="4" w:space="0" w:color="auto"/>
              <w:left w:val="single" w:sz="4" w:space="0" w:color="auto"/>
              <w:bottom w:val="single" w:sz="4" w:space="0" w:color="auto"/>
              <w:right w:val="single" w:sz="4" w:space="0" w:color="auto"/>
            </w:tcBorders>
            <w:hideMark/>
          </w:tcPr>
          <w:p w14:paraId="02BFD2DF" w14:textId="77777777" w:rsidR="00DE5903" w:rsidRPr="00A54335" w:rsidRDefault="00DE5903" w:rsidP="00611DD0">
            <w:pPr>
              <w:spacing w:line="264" w:lineRule="auto"/>
              <w:rPr>
                <w:rFonts w:eastAsia="Times New Roman"/>
                <w:sz w:val="22"/>
                <w:szCs w:val="22"/>
                <w:lang w:val="lt-LT" w:eastAsia="de-DE"/>
              </w:rPr>
            </w:pPr>
            <w:r w:rsidRPr="00A54335">
              <w:rPr>
                <w:rFonts w:eastAsia="Times New Roman"/>
                <w:sz w:val="22"/>
                <w:szCs w:val="22"/>
                <w:lang w:val="lt-LT" w:eastAsia="de-DE"/>
              </w:rPr>
              <w:t>Garantinis laikotarpis</w:t>
            </w:r>
          </w:p>
        </w:tc>
        <w:tc>
          <w:tcPr>
            <w:tcW w:w="3969" w:type="dxa"/>
            <w:tcBorders>
              <w:top w:val="single" w:sz="4" w:space="0" w:color="auto"/>
              <w:left w:val="single" w:sz="4" w:space="0" w:color="auto"/>
              <w:bottom w:val="single" w:sz="4" w:space="0" w:color="auto"/>
              <w:right w:val="single" w:sz="4" w:space="0" w:color="auto"/>
            </w:tcBorders>
            <w:hideMark/>
          </w:tcPr>
          <w:p w14:paraId="1409741B" w14:textId="4A9B7CDF" w:rsidR="00DE5903" w:rsidRPr="00A54335" w:rsidRDefault="00DE5903" w:rsidP="00611DD0">
            <w:pPr>
              <w:jc w:val="both"/>
              <w:rPr>
                <w:rFonts w:eastAsia="Times New Roman"/>
                <w:noProof/>
                <w:sz w:val="22"/>
                <w:szCs w:val="22"/>
                <w:lang w:val="lt-LT" w:eastAsia="de-DE"/>
              </w:rPr>
            </w:pPr>
            <w:r w:rsidRPr="00A54335">
              <w:rPr>
                <w:rFonts w:eastAsia="Times New Roman"/>
                <w:sz w:val="22"/>
                <w:szCs w:val="22"/>
                <w:lang w:val="lt-LT" w:eastAsia="de-DE"/>
              </w:rPr>
              <w:t xml:space="preserve">≥ </w:t>
            </w:r>
            <w:r w:rsidR="00F47E8E">
              <w:rPr>
                <w:rFonts w:eastAsia="Times New Roman"/>
                <w:sz w:val="22"/>
                <w:szCs w:val="22"/>
                <w:lang w:val="lt-LT" w:eastAsia="de-DE"/>
              </w:rPr>
              <w:t>24</w:t>
            </w:r>
            <w:r w:rsidRPr="00A54335">
              <w:rPr>
                <w:rFonts w:eastAsia="Times New Roman"/>
                <w:sz w:val="22"/>
                <w:szCs w:val="22"/>
                <w:lang w:val="lt-LT" w:eastAsia="de-DE"/>
              </w:rPr>
              <w:t xml:space="preserve"> mėn.</w:t>
            </w:r>
          </w:p>
        </w:tc>
        <w:tc>
          <w:tcPr>
            <w:tcW w:w="2551" w:type="dxa"/>
            <w:tcBorders>
              <w:top w:val="single" w:sz="4" w:space="0" w:color="auto"/>
              <w:left w:val="single" w:sz="4" w:space="0" w:color="auto"/>
              <w:bottom w:val="single" w:sz="4" w:space="0" w:color="auto"/>
              <w:right w:val="single" w:sz="4" w:space="0" w:color="auto"/>
            </w:tcBorders>
          </w:tcPr>
          <w:p w14:paraId="49B7E10A" w14:textId="77777777" w:rsidR="00DE5903" w:rsidRPr="00A54335" w:rsidRDefault="00DE5903" w:rsidP="00611DD0">
            <w:pPr>
              <w:spacing w:line="264" w:lineRule="auto"/>
              <w:rPr>
                <w:rFonts w:eastAsia="Times New Roman"/>
                <w:b/>
                <w:bCs/>
                <w:noProof/>
                <w:sz w:val="22"/>
                <w:szCs w:val="22"/>
                <w:lang w:val="lt-LT" w:eastAsia="de-DE"/>
              </w:rPr>
            </w:pPr>
          </w:p>
        </w:tc>
      </w:tr>
    </w:tbl>
    <w:p w14:paraId="3D869AE5" w14:textId="77777777" w:rsidR="00BB4336" w:rsidRPr="00BB4336" w:rsidRDefault="00BB4336" w:rsidP="00FD0E55">
      <w:pPr>
        <w:rPr>
          <w:sz w:val="22"/>
          <w:szCs w:val="22"/>
          <w:lang w:val="lt-LT"/>
        </w:rPr>
      </w:pPr>
    </w:p>
    <w:sectPr w:rsidR="00BB4336" w:rsidRPr="00BB4336" w:rsidSect="0062290C">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1DF17" w14:textId="77777777" w:rsidR="009743A7" w:rsidRDefault="009743A7" w:rsidP="003F5387">
      <w:r>
        <w:separator/>
      </w:r>
    </w:p>
  </w:endnote>
  <w:endnote w:type="continuationSeparator" w:id="0">
    <w:p w14:paraId="58B58BAF" w14:textId="77777777" w:rsidR="009743A7" w:rsidRDefault="009743A7" w:rsidP="003F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311200"/>
      <w:docPartObj>
        <w:docPartGallery w:val="Page Numbers (Bottom of Page)"/>
        <w:docPartUnique/>
      </w:docPartObj>
    </w:sdtPr>
    <w:sdtContent>
      <w:p w14:paraId="57299B08" w14:textId="541F3DC9" w:rsidR="003F5387" w:rsidRDefault="003F5387">
        <w:pPr>
          <w:pStyle w:val="Footer"/>
          <w:jc w:val="right"/>
        </w:pPr>
        <w:r>
          <w:fldChar w:fldCharType="begin"/>
        </w:r>
        <w:r>
          <w:instrText>PAGE   \* MERGEFORMAT</w:instrText>
        </w:r>
        <w:r>
          <w:fldChar w:fldCharType="separate"/>
        </w:r>
        <w:r>
          <w:rPr>
            <w:lang w:val="lt-LT"/>
          </w:rPr>
          <w:t>2</w:t>
        </w:r>
        <w:r>
          <w:fldChar w:fldCharType="end"/>
        </w:r>
      </w:p>
    </w:sdtContent>
  </w:sdt>
  <w:p w14:paraId="5A46F979" w14:textId="77777777" w:rsidR="003F5387" w:rsidRDefault="003F5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CA2DD" w14:textId="77777777" w:rsidR="009743A7" w:rsidRDefault="009743A7" w:rsidP="003F5387">
      <w:r>
        <w:separator/>
      </w:r>
    </w:p>
  </w:footnote>
  <w:footnote w:type="continuationSeparator" w:id="0">
    <w:p w14:paraId="09FF2043" w14:textId="77777777" w:rsidR="009743A7" w:rsidRDefault="009743A7" w:rsidP="003F5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1"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28D4F38"/>
    <w:multiLevelType w:val="hybridMultilevel"/>
    <w:tmpl w:val="BABC3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1F3669"/>
    <w:multiLevelType w:val="hybridMultilevel"/>
    <w:tmpl w:val="319E0A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721CB0"/>
    <w:multiLevelType w:val="hybridMultilevel"/>
    <w:tmpl w:val="9FDA0F8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4947B2"/>
    <w:multiLevelType w:val="hybridMultilevel"/>
    <w:tmpl w:val="97147B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BB6386"/>
    <w:multiLevelType w:val="hybridMultilevel"/>
    <w:tmpl w:val="ED568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E730EE"/>
    <w:multiLevelType w:val="hybridMultilevel"/>
    <w:tmpl w:val="9D649CC6"/>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D0E7222"/>
    <w:multiLevelType w:val="hybridMultilevel"/>
    <w:tmpl w:val="9D9039D6"/>
    <w:lvl w:ilvl="0" w:tplc="2F1CCAE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EE64375"/>
    <w:multiLevelType w:val="hybridMultilevel"/>
    <w:tmpl w:val="4DD429B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A641F16"/>
    <w:multiLevelType w:val="hybridMultilevel"/>
    <w:tmpl w:val="AA644BC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7E6F52"/>
    <w:multiLevelType w:val="hybridMultilevel"/>
    <w:tmpl w:val="D4EABB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CA54369"/>
    <w:multiLevelType w:val="hybridMultilevel"/>
    <w:tmpl w:val="BB263B6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2A034BC"/>
    <w:multiLevelType w:val="hybridMultilevel"/>
    <w:tmpl w:val="BCDA75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223B64"/>
    <w:multiLevelType w:val="hybridMultilevel"/>
    <w:tmpl w:val="7640D044"/>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5D70699"/>
    <w:multiLevelType w:val="hybridMultilevel"/>
    <w:tmpl w:val="883C03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86345D9"/>
    <w:multiLevelType w:val="multilevel"/>
    <w:tmpl w:val="0164AF28"/>
    <w:lvl w:ilvl="0">
      <w:start w:val="1"/>
      <w:numFmt w:val="decimal"/>
      <w:lvlText w:val="%1."/>
      <w:lvlJc w:val="left"/>
      <w:pPr>
        <w:ind w:left="720" w:hanging="360"/>
      </w:pPr>
    </w:lvl>
    <w:lvl w:ilvl="1">
      <w:start w:val="1"/>
      <w:numFmt w:val="decimal"/>
      <w:isLgl/>
      <w:lvlText w:val="%2."/>
      <w:lvlJc w:val="left"/>
      <w:pPr>
        <w:ind w:left="689" w:hanging="405"/>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0413934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3976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9225412">
    <w:abstractNumId w:val="13"/>
  </w:num>
  <w:num w:numId="4" w16cid:durableId="1131752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2346018">
    <w:abstractNumId w:val="3"/>
  </w:num>
  <w:num w:numId="6" w16cid:durableId="1592351455">
    <w:abstractNumId w:val="17"/>
  </w:num>
  <w:num w:numId="7" w16cid:durableId="214202414">
    <w:abstractNumId w:val="18"/>
  </w:num>
  <w:num w:numId="8" w16cid:durableId="2017999589">
    <w:abstractNumId w:val="11"/>
  </w:num>
  <w:num w:numId="9" w16cid:durableId="594901471">
    <w:abstractNumId w:val="14"/>
  </w:num>
  <w:num w:numId="10" w16cid:durableId="1900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3585166">
    <w:abstractNumId w:val="5"/>
  </w:num>
  <w:num w:numId="12" w16cid:durableId="1342127596">
    <w:abstractNumId w:val="12"/>
  </w:num>
  <w:num w:numId="13" w16cid:durableId="210263627">
    <w:abstractNumId w:val="15"/>
  </w:num>
  <w:num w:numId="14" w16cid:durableId="233467005">
    <w:abstractNumId w:val="7"/>
  </w:num>
  <w:num w:numId="15" w16cid:durableId="929195621">
    <w:abstractNumId w:val="6"/>
  </w:num>
  <w:num w:numId="16" w16cid:durableId="1397126521">
    <w:abstractNumId w:val="4"/>
  </w:num>
  <w:num w:numId="17" w16cid:durableId="482745496">
    <w:abstractNumId w:val="2"/>
  </w:num>
  <w:num w:numId="18" w16cid:durableId="1910727705">
    <w:abstractNumId w:val="8"/>
  </w:num>
  <w:num w:numId="19" w16cid:durableId="1393888063">
    <w:abstractNumId w:val="16"/>
  </w:num>
  <w:num w:numId="20" w16cid:durableId="836770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5388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698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2649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36056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7513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5490A"/>
    <w:rsid w:val="00091950"/>
    <w:rsid w:val="000D7407"/>
    <w:rsid w:val="001D4332"/>
    <w:rsid w:val="002535B0"/>
    <w:rsid w:val="002F380B"/>
    <w:rsid w:val="00320974"/>
    <w:rsid w:val="00330EB9"/>
    <w:rsid w:val="003F5387"/>
    <w:rsid w:val="0040450C"/>
    <w:rsid w:val="004D62CD"/>
    <w:rsid w:val="004E191D"/>
    <w:rsid w:val="00537CAF"/>
    <w:rsid w:val="00543F8E"/>
    <w:rsid w:val="005B0CBD"/>
    <w:rsid w:val="005D4C3C"/>
    <w:rsid w:val="00611E76"/>
    <w:rsid w:val="0062290C"/>
    <w:rsid w:val="00644284"/>
    <w:rsid w:val="00674149"/>
    <w:rsid w:val="00691149"/>
    <w:rsid w:val="007432E3"/>
    <w:rsid w:val="007508CE"/>
    <w:rsid w:val="00754A3D"/>
    <w:rsid w:val="00776B1E"/>
    <w:rsid w:val="00794DAB"/>
    <w:rsid w:val="008856B9"/>
    <w:rsid w:val="008B1B3F"/>
    <w:rsid w:val="009133BD"/>
    <w:rsid w:val="00916B7F"/>
    <w:rsid w:val="009743A7"/>
    <w:rsid w:val="009C7754"/>
    <w:rsid w:val="00A67FDE"/>
    <w:rsid w:val="00A70DFB"/>
    <w:rsid w:val="00A7511C"/>
    <w:rsid w:val="00AB4019"/>
    <w:rsid w:val="00AE6C37"/>
    <w:rsid w:val="00B36B02"/>
    <w:rsid w:val="00B61621"/>
    <w:rsid w:val="00BB4336"/>
    <w:rsid w:val="00BD6B73"/>
    <w:rsid w:val="00C0127A"/>
    <w:rsid w:val="00C316DF"/>
    <w:rsid w:val="00C47166"/>
    <w:rsid w:val="00C70568"/>
    <w:rsid w:val="00D32977"/>
    <w:rsid w:val="00D6071D"/>
    <w:rsid w:val="00DE5903"/>
    <w:rsid w:val="00E12548"/>
    <w:rsid w:val="00E27BE0"/>
    <w:rsid w:val="00E3639C"/>
    <w:rsid w:val="00E37B22"/>
    <w:rsid w:val="00E4429C"/>
    <w:rsid w:val="00E63220"/>
    <w:rsid w:val="00E86B72"/>
    <w:rsid w:val="00E9061D"/>
    <w:rsid w:val="00EB0AE2"/>
    <w:rsid w:val="00EC58B0"/>
    <w:rsid w:val="00F47E8E"/>
    <w:rsid w:val="00FD0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EE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80B"/>
    <w:rPr>
      <w:rFonts w:eastAsia="Arial Unicode MS" w:cs="Times New Roman"/>
      <w:szCs w:val="24"/>
      <w:lang w:val="en-US"/>
    </w:rPr>
  </w:style>
  <w:style w:type="paragraph" w:styleId="Heading3">
    <w:name w:val="heading 3"/>
    <w:basedOn w:val="Normal"/>
    <w:next w:val="Normal"/>
    <w:link w:val="Heading3Char"/>
    <w:unhideWhenUsed/>
    <w:qFormat/>
    <w:rsid w:val="00FD0E55"/>
    <w:pPr>
      <w:keepNext/>
      <w:outlineLvl w:val="2"/>
    </w:pPr>
    <w:rPr>
      <w:rFonts w:eastAsia="Times New Roman"/>
      <w:b/>
      <w:bCs/>
      <w:noProof/>
      <w:sz w:val="22"/>
      <w:lang w:val="en-GB"/>
    </w:rPr>
  </w:style>
  <w:style w:type="paragraph" w:styleId="Heading6">
    <w:name w:val="heading 6"/>
    <w:basedOn w:val="Normal"/>
    <w:next w:val="Normal"/>
    <w:link w:val="Heading6Char"/>
    <w:uiPriority w:val="9"/>
    <w:semiHidden/>
    <w:unhideWhenUsed/>
    <w:qFormat/>
    <w:rsid w:val="00BB433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80B"/>
    <w:pPr>
      <w:spacing w:before="100" w:beforeAutospacing="1" w:after="100" w:afterAutospacing="1"/>
    </w:pPr>
    <w:rPr>
      <w:rFonts w:eastAsia="Times New Roman"/>
      <w:lang w:val="lt-LT" w:eastAsia="lt-LT"/>
    </w:rPr>
  </w:style>
  <w:style w:type="paragraph" w:styleId="Title">
    <w:name w:val="Title"/>
    <w:next w:val="Normal"/>
    <w:link w:val="TitleChar"/>
    <w:uiPriority w:val="99"/>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TitleChar">
    <w:name w:val="Title Char"/>
    <w:basedOn w:val="DefaultParagraphFont"/>
    <w:link w:val="Title"/>
    <w:uiPriority w:val="99"/>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locked/>
    <w:rsid w:val="002F380B"/>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basedOn w:val="DefaultParagraphFont"/>
    <w:uiPriority w:val="99"/>
    <w:unhideWhenUsed/>
    <w:rsid w:val="00C47166"/>
    <w:rPr>
      <w:color w:val="0563C1" w:themeColor="hyperlink"/>
      <w:u w:val="single"/>
    </w:rPr>
  </w:style>
  <w:style w:type="paragraph" w:customStyle="1" w:styleId="Body">
    <w:name w:val="Body"/>
    <w:rsid w:val="00543F8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styleId="Header">
    <w:name w:val="header"/>
    <w:basedOn w:val="Normal"/>
    <w:link w:val="HeaderChar"/>
    <w:unhideWhenUsed/>
    <w:rsid w:val="003F5387"/>
    <w:pPr>
      <w:tabs>
        <w:tab w:val="center" w:pos="4819"/>
        <w:tab w:val="right" w:pos="9638"/>
      </w:tabs>
    </w:pPr>
  </w:style>
  <w:style w:type="character" w:customStyle="1" w:styleId="HeaderChar">
    <w:name w:val="Header Char"/>
    <w:basedOn w:val="DefaultParagraphFont"/>
    <w:link w:val="Header"/>
    <w:rsid w:val="003F5387"/>
    <w:rPr>
      <w:rFonts w:eastAsia="Arial Unicode MS" w:cs="Times New Roman"/>
      <w:szCs w:val="24"/>
      <w:lang w:val="en-US"/>
    </w:rPr>
  </w:style>
  <w:style w:type="paragraph" w:styleId="Footer">
    <w:name w:val="footer"/>
    <w:basedOn w:val="Normal"/>
    <w:link w:val="FooterChar"/>
    <w:uiPriority w:val="99"/>
    <w:unhideWhenUsed/>
    <w:rsid w:val="003F5387"/>
    <w:pPr>
      <w:tabs>
        <w:tab w:val="center" w:pos="4819"/>
        <w:tab w:val="right" w:pos="9638"/>
      </w:tabs>
    </w:pPr>
  </w:style>
  <w:style w:type="character" w:customStyle="1" w:styleId="FooterChar">
    <w:name w:val="Footer Char"/>
    <w:basedOn w:val="DefaultParagraphFont"/>
    <w:link w:val="Footer"/>
    <w:uiPriority w:val="99"/>
    <w:rsid w:val="003F5387"/>
    <w:rPr>
      <w:rFonts w:eastAsia="Arial Unicode MS" w:cs="Times New Roman"/>
      <w:szCs w:val="24"/>
      <w:lang w:val="en-US"/>
    </w:rPr>
  </w:style>
  <w:style w:type="character" w:customStyle="1" w:styleId="Heading3Char">
    <w:name w:val="Heading 3 Char"/>
    <w:basedOn w:val="DefaultParagraphFont"/>
    <w:link w:val="Heading3"/>
    <w:rsid w:val="00FD0E55"/>
    <w:rPr>
      <w:rFonts w:eastAsia="Times New Roman" w:cs="Times New Roman"/>
      <w:b/>
      <w:bCs/>
      <w:noProof/>
      <w:sz w:val="22"/>
      <w:szCs w:val="24"/>
      <w:lang w:val="en-GB"/>
    </w:rPr>
  </w:style>
  <w:style w:type="character" w:customStyle="1" w:styleId="Heading6Char">
    <w:name w:val="Heading 6 Char"/>
    <w:basedOn w:val="DefaultParagraphFont"/>
    <w:link w:val="Heading6"/>
    <w:uiPriority w:val="9"/>
    <w:semiHidden/>
    <w:rsid w:val="00BB4336"/>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Normal"/>
    <w:rsid w:val="00BB4336"/>
    <w:pPr>
      <w:shd w:val="clear" w:color="auto" w:fill="FFFFFF"/>
      <w:spacing w:line="235" w:lineRule="exact"/>
      <w:jc w:val="both"/>
    </w:pPr>
    <w:rPr>
      <w:rFonts w:eastAsia="Times New Roman"/>
      <w:b/>
      <w:bCs/>
      <w:sz w:val="20"/>
      <w:szCs w:val="20"/>
      <w:lang w:val="lt-LT" w:eastAsia="lt-LT"/>
    </w:rPr>
  </w:style>
  <w:style w:type="paragraph" w:customStyle="1" w:styleId="Heading">
    <w:name w:val="Heading"/>
    <w:next w:val="Body2"/>
    <w:qFormat/>
    <w:rsid w:val="00AB4019"/>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3933</Words>
  <Characters>2242</Characters>
  <Application>Microsoft Office Word</Application>
  <DocSecurity>0</DocSecurity>
  <Lines>18</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2024-11-22T15:24:00Z</dcterms:created>
  <dcterms:modified xsi:type="dcterms:W3CDTF">2024-11-25T14:36:00Z</dcterms:modified>
</cp:coreProperties>
</file>